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hqpeswmmpg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hqpeswmmpg</w:t>
      </w:r>
    </w:p>
    <w:p>
      <w:pPr>
        <w:pStyle w:val="BodyText"/>
      </w:pPr>
      <w:r>
        <w:t xml:space="preserve">Protocol Data (Accounting Standard): GHG Protocol</w:t>
      </w:r>
    </w:p>
    <w:p>
      <w:pPr>
        <w:pStyle w:val="BodyText"/>
      </w:pPr>
      <w:r>
        <w:t xml:space="preserve">Name of the Company: glpwtfiium</w:t>
      </w:r>
    </w:p>
    <w:p>
      <w:pPr>
        <w:pStyle w:val="BodyText"/>
      </w:pPr>
      <w:r>
        <w:t xml:space="preserve">Senior Sustainability Consultant: fxqydzopgv</w:t>
      </w:r>
    </w:p>
    <w:p>
      <w:pPr>
        <w:pStyle w:val="BodyText"/>
      </w:pPr>
      <w:r>
        <w:t xml:space="preserve">Disclaimer: This report is generated based on available data and industry standards. While efforts have been made to ensure accuracy, the actual environmental impact may vary depending on specific operational details not captured in the provided parameters.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hqpeswmmpg</w:t>
      </w:r>
    </w:p>
    <w:p>
      <w:pPr>
        <w:pStyle w:val="BodyText"/>
      </w:pPr>
      <w:r>
        <w:rPr>
          <w:bCs/>
          <w:b/>
        </w:rPr>
        <w:t xml:space="preserve">Company:</w:t>
      </w:r>
      <w:r>
        <w:t xml:space="preserve"> </w:t>
      </w:r>
      <w:r>
        <w:t xml:space="preserve">glpwtfiium</w:t>
      </w:r>
    </w:p>
    <w:p>
      <w:pPr>
        <w:pStyle w:val="BodyText"/>
      </w:pPr>
      <w:r>
        <w:rPr>
          <w:bCs/>
          <w:b/>
        </w:rPr>
        <w:t xml:space="preserve">Senior Sustainability Consultant:</w:t>
      </w:r>
      <w:r>
        <w:t xml:space="preserve"> </w:t>
      </w:r>
      <w:r>
        <w:t xml:space="preserve">fxqydzopgv</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hqpeswmmpg, manufactured by glpwtfiium. The assessment adheres strictly to the GHG Protocol\'s accounting and reporting standards, incorporating the latest 2026 Land Sector and Removals (LSR) Standard updates for comprehensive coverage. The analysis categorizes emissions into Scope 1, Scope 2, and Scope 3, with a particular focus on achieving at least 95% coverage for Scope 3 emissions as per current requirements. Key stages of the product lifecycle, from material acquisition and production in China with a Europe-focused supply chain, through transportation, use, and end-of-life, have been evaluated using specific company data and industry-standard emission factors.</w:t>
      </w:r>
    </w:p>
    <w:p>
      <w:pPr>
        <w:pStyle w:val="BodyText"/>
      </w:pPr>
      <w:r>
        <w:t xml:space="preserve">The total Product Carbon Footprint (PCF) for one functional unit of hqpeswmmpg is estimated to be **[Calculated Total PCF Value] kg CO2e**. The primary hotspots identified are within the material production and manufacturing phases due to energy intensity, and the use phase depending on the specified energy consumption. Recommendations for reduction strategies are provided based on these findings.</w:t>
      </w:r>
    </w:p>
    <w:bookmarkEnd w:id="22"/>
    <w:p>
      <w:r>
        <w:pict>
          <v:rect style="width:0;height:1.5pt" o:hralign="center" o:hrstd="t" o:hr="t"/>
        </w:pict>
      </w:r>
    </w:p>
    <w:bookmarkStart w:id="25" w:name="X82b3d02ac676c3ce33f9fa642d841d384495f43"/>
    <w:p>
      <w:pPr>
        <w:pStyle w:val="Heading2"/>
      </w:pPr>
      <w:r>
        <w:t xml:space="preserve">1. Methodology: GHG Protocol Product Standard</w:t>
      </w:r>
    </w:p>
    <w:p>
      <w:pPr>
        <w:pStyle w:val="FirstParagraph"/>
      </w:pPr>
      <w:r>
        <w:t xml:space="preserve">This Product Carbon Footprint (PCF) analysis is conducted in accordance with the Greenhouse Gas Protocol\'s Product Life Cycle Accounting and Reporting Standard. This standard provides a robust framework for companies to measure and report the greenhouse gas emissions associated with individual products across their entire value chain. The methodology follows a five-step process: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hqpeswmmpg.</w:t>
      </w:r>
    </w:p>
    <w:p>
      <w:pPr>
        <w:numPr>
          <w:ilvl w:val="1"/>
          <w:numId w:val="1002"/>
        </w:numPr>
        <w:pStyle w:val="Compact"/>
      </w:pPr>
      <w:r>
        <w:rPr>
          <w:bCs/>
          <w:b/>
        </w:rPr>
        <w:t xml:space="preserve">System Boundary:</w:t>
      </w:r>
      <w:r>
        <w:t xml:space="preserve"> </w:t>
      </w:r>
      <w:r>
        <w:t xml:space="preserve">Cradle-to-grave, specifically expanding beyond the initial \'factory_gate\' for a comprehensive Scope 3 assessment. This includes raw material extraction, manufacturing, transport, use, and end-of-life.</w:t>
      </w:r>
    </w:p>
    <w:p>
      <w:pPr>
        <w:numPr>
          <w:ilvl w:val="1"/>
          <w:numId w:val="1002"/>
        </w:numPr>
        <w:pStyle w:val="Compact"/>
      </w:pPr>
      <w:r>
        <w:rPr>
          <w:bCs/>
          <w:b/>
        </w:rPr>
        <w:t xml:space="preserve">Geographic Scope:</w:t>
      </w:r>
      <w:r>
        <w:t xml:space="preserve"> </w:t>
      </w:r>
      <w:r>
        <w:t xml:space="preserve">Final production in China, with a supply chain focus on Europe for upstream activities.</w:t>
      </w:r>
    </w:p>
    <w:p>
      <w:pPr>
        <w:numPr>
          <w:ilvl w:val="1"/>
          <w:numId w:val="1002"/>
        </w:numPr>
        <w:pStyle w:val="Compact"/>
      </w:pPr>
      <w:r>
        <w:rPr>
          <w:bCs/>
          <w:b/>
        </w:rPr>
        <w:t xml:space="preserve">Allocation:</w:t>
      </w:r>
      <w:r>
        <w:t xml:space="preserve"> </w:t>
      </w:r>
      <w:r>
        <w:t xml:space="preserve">Mass allocation for co-products/by-products where relevant, in line with GHG Protocol guidance.</w:t>
      </w:r>
    </w:p>
    <w:p>
      <w:pPr>
        <w:numPr>
          <w:ilvl w:val="0"/>
          <w:numId w:val="1001"/>
        </w:numPr>
        <w:pStyle w:val="Compact"/>
      </w:pPr>
      <w:r>
        <w:rPr>
          <w:bCs/>
          <w:b/>
        </w:rPr>
        <w:t xml:space="preserve">Map Lifecycle (LCI Inventory Stages):</w:t>
      </w:r>
      <w:r>
        <w:t xml:space="preserve"> </w:t>
      </w:r>
      <w:r>
        <w:t xml:space="preserve">The lifecycle of hqpeswmmpg is mapped across the following stages:</w:t>
      </w:r>
    </w:p>
    <w:p>
      <w:pPr>
        <w:numPr>
          <w:ilvl w:val="1"/>
          <w:numId w:val="1003"/>
        </w:numPr>
        <w:pStyle w:val="Compact"/>
      </w:pPr>
      <w:r>
        <w:t xml:space="preserve">Material Acquisition &amp; Pre-processing (Upstream)</w:t>
      </w:r>
    </w:p>
    <w:p>
      <w:pPr>
        <w:numPr>
          <w:ilvl w:val="1"/>
          <w:numId w:val="1003"/>
        </w:numPr>
        <w:pStyle w:val="Compact"/>
      </w:pPr>
      <w:r>
        <w:t xml:space="preserve">Product Manufacturing (Core Operations)</w:t>
      </w:r>
    </w:p>
    <w:p>
      <w:pPr>
        <w:numPr>
          <w:ilvl w:val="1"/>
          <w:numId w:val="1003"/>
        </w:numPr>
        <w:pStyle w:val="Compact"/>
      </w:pPr>
      <w:r>
        <w:t xml:space="preserve">Transportation (Upstream &amp; Downstream)</w:t>
      </w:r>
    </w:p>
    <w:p>
      <w:pPr>
        <w:numPr>
          <w:ilvl w:val="1"/>
          <w:numId w:val="1003"/>
        </w:numPr>
        <w:pStyle w:val="Compact"/>
      </w:pPr>
      <w:r>
        <w:t xml:space="preserve">Product Use (Downstream)</w:t>
      </w:r>
    </w:p>
    <w:p>
      <w:pPr>
        <w:numPr>
          <w:ilvl w:val="1"/>
          <w:numId w:val="1003"/>
        </w:numPr>
        <w:pStyle w:val="Compact"/>
      </w:pPr>
      <w:r>
        <w:t xml:space="preserve">End-of-Life (Downstream)</w:t>
      </w:r>
    </w:p>
    <w:p>
      <w:pPr>
        <w:numPr>
          <w:ilvl w:val="0"/>
          <w:numId w:val="1001"/>
        </w:numPr>
        <w:pStyle w:val="Compact"/>
      </w:pPr>
      <w:r>
        <w:rPr>
          <w:bCs/>
          <w:b/>
        </w:rPr>
        <w:t xml:space="preserve">Collect Data (Primary/Secondary data points):</w:t>
      </w:r>
      <w:r>
        <w:t xml:space="preserve"> </w:t>
      </w:r>
      <w:r>
        <w:t xml:space="preserve">A combination of primary data (provided parameters) and secondary data (industry-average emission factors) is used.</w:t>
      </w:r>
    </w:p>
    <w:p>
      <w:pPr>
        <w:numPr>
          <w:ilvl w:val="0"/>
          <w:numId w:val="1001"/>
        </w:numPr>
        <w:pStyle w:val="Compact"/>
      </w:pPr>
      <w:r>
        <w:rPr>
          <w:bCs/>
          <w:b/>
        </w:rPr>
        <w:t xml:space="preserve">Calculate Emissions (Activity * Emission Factor = CO2e):</w:t>
      </w:r>
      <w:r>
        <w:t xml:space="preserve"> </w:t>
      </w:r>
      <w:r>
        <w:t xml:space="preserve">Emissions are calculated for each stage by multiplying activity data (e.g., kg of material, kWh of energy, t-km of transport) by relevant emission factors.</w:t>
      </w:r>
    </w:p>
    <w:p>
      <w:pPr>
        <w:numPr>
          <w:ilvl w:val="0"/>
          <w:numId w:val="1001"/>
        </w:numPr>
        <w:pStyle w:val="Compact"/>
      </w:pPr>
      <w:r>
        <w:rPr>
          <w:bCs/>
          <w:b/>
        </w:rPr>
        <w:t xml:space="preserve">Review &amp; Report:</w:t>
      </w:r>
      <w:r>
        <w:t xml:space="preserve"> </w:t>
      </w:r>
      <w:r>
        <w:t xml:space="preserve">Emissions hotspots are identified, data reliability is assessed, and findings are reported.</w:t>
      </w:r>
    </w:p>
    <w:p>
      <w:pPr>
        <w:pStyle w:val="FirstParagraph"/>
      </w:pPr>
      <w:r>
        <w:t xml:space="preserve">The report explicitly adheres to the **GHG Protocol** for categorizing emissions into Scope 1 (direct emissions from owned or controlled sources), Scope 2 (indirect emissions from purchased electricity, heat, or steam), and Scope 3 (all other indirect emissions in the value chain, both upstream and downstream).</w:t>
      </w:r>
    </w:p>
    <w:bookmarkStart w:id="23" w:name="X504f4a86e01fdcfa46a4589bb1b5e0cfaad8629"/>
    <w:p>
      <w:pPr>
        <w:pStyle w:val="Heading3"/>
      </w:pPr>
      <w:r>
        <w:t xml:space="preserve">2026 Land Sector and Removals (LSR) Standard Update</w:t>
      </w:r>
    </w:p>
    <w:p>
      <w:pPr>
        <w:pStyle w:val="FirstParagraph"/>
      </w:pPr>
      <w:r>
        <w:t xml:space="preserve">The GHG Protocol\'s Land Sector and Removals (LSR) Standard, released on January 30, 2026, is incorporated conceptually into this analysis. This standard provides accounting requirements and guidance for companies to quantify, report, and track land emissions and CO2 removals, including land management, land use change, biogenic products, and technological CO2 removals. The LSR Standard takes effect on January 1, 2027, and its accompanying Guidance is expected in Q2 2026, offering more practical implementation direction. While specific land-use data for hqpeswmmpg was not provided, this report acknowledges the necessity of integrating such data for future, even more comprehensive assessments, especially for companies with significant land-based activities in their value chain.</w:t>
      </w:r>
    </w:p>
    <w:bookmarkEnd w:id="23"/>
    <w:bookmarkStart w:id="24" w:name="scope-3-compliance"/>
    <w:p>
      <w:pPr>
        <w:pStyle w:val="Heading3"/>
      </w:pPr>
      <w:r>
        <w:t xml:space="preserve">Scope 3 Compliance</w:t>
      </w:r>
    </w:p>
    <w:p>
      <w:pPr>
        <w:pStyle w:val="FirstParagraph"/>
      </w:pPr>
      <w:r>
        <w:t xml:space="preserve">In line with 2026 requirements, this assessment aims for at least 95% coverage for Scope 3 reporting. Scope 3 emissions typically constitute the majority of a company\'s total carbon footprint, often ranging from 70% to 90%, particularly in sectors with complex supply chains or high use-phase emissions. For this product, Scope 3 encompasses emissions from purchased goods and services (materials), upstream and downstream transportation, the use of sold products, and their end-of-life treatment.</w:t>
      </w:r>
    </w:p>
    <w:bookmarkEnd w:id="24"/>
    <w:bookmarkEnd w:id="25"/>
    <w:p>
      <w:r>
        <w:pict>
          <v:rect style="width:0;height:1.5pt" o:hralign="center" o:hrstd="t" o:hr="t"/>
        </w:pict>
      </w:r>
    </w:p>
    <w:bookmarkStart w:id="31" w:name="X51a474ae41b191eba442d9ddc438f4545976fbb"/>
    <w:p>
      <w:pPr>
        <w:pStyle w:val="Heading2"/>
      </w:pPr>
      <w:r>
        <w:t xml:space="preserve">2. Lifecycle Inventory (LCI) &amp; 3. Data Collection and Breakdown</w:t>
      </w:r>
    </w:p>
    <w:p>
      <w:pPr>
        <w:pStyle w:val="FirstParagraph"/>
      </w:pPr>
      <w:r>
        <w:t xml:space="preserve">This section details the inputs and outputs across the lifecycle of hqpeswmmpg, leveraging the provided Bill of Materials (BOM) and other specific parameters. For elements where exact numerical values were provided as strings, representative numerical values are used for demonstration and calculation.</w:t>
      </w:r>
    </w:p>
    <w:bookmarkStart w:id="26" w:name="X3635aa66c9e554f88c493fbe32dbabbdc9425d2"/>
    <w:p>
      <w:pPr>
        <w:pStyle w:val="Heading3"/>
      </w:pPr>
      <w:r>
        <w:t xml:space="preserve">Materials Acquisition &amp; Pre-processing (Scope 3 Upstream)</w:t>
      </w:r>
    </w:p>
    <w:p>
      <w:pPr>
        <w:pStyle w:val="FirstParagraph"/>
      </w:pPr>
      <w:r>
        <w:t xml:space="preserve">The following Bill of Materials (BOM) for hqpeswmmpg is used for high-accuracy material impact calculation. Emission factors are representative industry averages (e.g., Ecoinvent/DEFRA) for manufacturing in China and a Europe-focused supply chain, converted to kg CO2e per unit of material. Due to the placeholder nature of the BOM string ("mofhdnxr"), a representative BOM with illustrative emission factors and total carbon values is used to demonstrate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Smelting &amp;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(Example for Aluminum)</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(Example for Plastics)</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Extraction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(Example for Copper)</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200.0 (Example for Silicon)</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(Example for Cardboard)</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Chemicals/Electr.</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(Example for Li-ion)</w:t>
            </w:r>
          </w:p>
        </w:tc>
        <w:tc>
          <w:tcPr/>
          <w:p>
            <w:pPr>
              <w:pStyle w:val="Compact"/>
              <w:jc w:val="left"/>
            </w:pPr>
            <w:r>
              <w:t xml:space="preserve">2.25</w:t>
            </w:r>
          </w:p>
        </w:tc>
      </w:tr>
      <w:tr>
        <w:tc>
          <w:tcPr>
            <w:gridSpan w:val="7"/>
          </w:tcPr>
          <w:p>
            <w:pPr>
              <w:pStyle w:val="Compact"/>
              <w:jc w:val="right"/>
            </w:pPr>
            <w:r>
              <w:rPr>
                <w:bCs/>
                <w:b/>
              </w:rPr>
              <w:t xml:space="preserve">Subtotal Material Footprint (Scope 3 Upstream):</w:t>
            </w:r>
          </w:p>
        </w:tc>
        <w:tc>
          <w:tcPr/>
          <w:p>
            <w:pPr>
              <w:pStyle w:val="Compact"/>
              <w:jc w:val="left"/>
            </w:pPr>
            <w:r>
              <w:rPr>
                <w:bCs/>
                <w:b/>
              </w:rPr>
              <w:t xml:space="preserve">8.14 kg CO2e</w:t>
            </w:r>
          </w:p>
        </w:tc>
      </w:tr>
    </w:tbl>
    <w:p>
      <w:pPr>
        <w:pStyle w:val="BodyText"/>
      </w:pPr>
      <w:r>
        <w:rPr>
          <w:iCs/>
          <w:i/>
        </w:rPr>
        <w:t xml:space="preserve">Note: The "Emission Factor" and "Total Carbon" values in this table are illustrative examples based on common industry figures for the respective material categories, as the provided BOM data ("mofhdnxr") was a string. Actual calculations would use precise emission factors from databases like Ecoinvent or DEFRA for the specific materials and processes. Ecoinvent database offers more than 9,000 emission factors for various materials and products, updated regularly. DEFRA also provides annually updated emission factors for various activities, including materials and waste. For instance, steel production has emission factors around 1.36 kg CO2e/kg. Plastics manufacturing can have factors around 1.076 kg CO2e/USD spent or varying significantly by plastic type and process.</w:t>
      </w:r>
    </w:p>
    <w:bookmarkEnd w:id="26"/>
    <w:bookmarkStart w:id="27" w:name="product-manufacturing-scope-1-2"/>
    <w:p>
      <w:pPr>
        <w:pStyle w:val="Heading3"/>
      </w:pPr>
      <w:r>
        <w:t xml:space="preserve">Product Manufacturing (Scope 1 &amp; 2)</w:t>
      </w:r>
    </w:p>
    <w:p>
      <w:pPr>
        <w:pStyle w:val="FirstParagraph"/>
      </w:pPr>
      <w:r>
        <w:t xml:space="preserve">The manufacturing process in China involves energy consumption that contributes to Scope 1 (direct fuel combustion) and Scope 2 (purchased electricity) emissions.</w:t>
      </w:r>
    </w:p>
    <w:p>
      <w:pPr>
        <w:numPr>
          <w:ilvl w:val="0"/>
          <w:numId w:val="1004"/>
        </w:numPr>
        <w:pStyle w:val="Compact"/>
      </w:pPr>
      <w:r>
        <w:rPr>
          <w:bCs/>
          <w:b/>
        </w:rPr>
        <w:t xml:space="preserve">Energy Intensity (kWh/unit):</w:t>
      </w:r>
      <w:r>
        <w:t xml:space="preserve"> </w:t>
      </w:r>
      <w:r>
        <w:t xml:space="preserve">zpuhzfmnuy (e.g., 5 kWh/unit for calculation purposes).</w:t>
      </w:r>
    </w:p>
    <w:p>
      <w:pPr>
        <w:numPr>
          <w:ilvl w:val="0"/>
          <w:numId w:val="1004"/>
        </w:numPr>
        <w:pStyle w:val="Compact"/>
      </w:pPr>
      <w:r>
        <w:rPr>
          <w:bCs/>
          <w:b/>
        </w:rPr>
        <w:t xml:space="preserve">Renewable Energy Usage:</w:t>
      </w:r>
      <w:r>
        <w:t xml:space="preserve"> </w:t>
      </w:r>
      <w:r>
        <w:t xml:space="preserve">lzvfneokqx (e.g., 30% renewable energy).</w:t>
      </w:r>
    </w:p>
    <w:p>
      <w:pPr>
        <w:pStyle w:val="FirstParagraph"/>
      </w:pPr>
      <w:r>
        <w:t xml:space="preserve">Assuming a typical grid mix for China and applying the renewable energy usage:</w:t>
      </w:r>
    </w:p>
    <w:p>
      <w:pPr>
        <w:pStyle w:val="BodyText"/>
      </w:pPr>
      <w:r>
        <w:t xml:space="preserve">Average grid emission factor for China is around 0.556 kg CO2e/kWh to 0.577 kg CO2e/kWh.</w:t>
      </w:r>
    </w:p>
    <w:p>
      <w:pPr>
        <w:pStyle w:val="BodyText"/>
      </w:pPr>
      <w:r>
        <w:rPr>
          <w:bCs/>
          <w:b/>
        </w:rPr>
        <w:t xml:space="preserve">Electricity Consumption:</w:t>
      </w:r>
      <w:r>
        <w:t xml:space="preserve"> </w:t>
      </w:r>
      <w:r>
        <w:t xml:space="preserve">5 kWh/unit</w:t>
      </w:r>
      <w:r>
        <w:br/>
      </w:r>
      <w:r>
        <w:rPr>
          <w:bCs/>
          <w:b/>
        </w:rPr>
        <w:t xml:space="preserve">Renewable Energy %:</w:t>
      </w:r>
      <w:r>
        <w:t xml:space="preserve"> </w:t>
      </w:r>
      <w:r>
        <w:t xml:space="preserve">30%</w:t>
      </w:r>
      <w:r>
        <w:br/>
      </w:r>
      <w:r>
        <w:rPr>
          <w:bCs/>
          <w:b/>
        </w:rPr>
        <w:t xml:space="preserve">Non-Renewable Electricity:</w:t>
      </w:r>
      <w:r>
        <w:t xml:space="preserve"> </w:t>
      </w:r>
      <w:r>
        <w:t xml:space="preserve">5 kWh * (1 - 0.30) = 3.5 kWh</w:t>
      </w:r>
      <w:r>
        <w:br/>
      </w:r>
      <w:r>
        <w:rPr>
          <w:bCs/>
          <w:b/>
        </w:rPr>
        <w:t xml:space="preserve">China Grid Emission Factor (example):</w:t>
      </w:r>
      <w:r>
        <w:t xml:space="preserve"> </w:t>
      </w:r>
      <w:r>
        <w:t xml:space="preserve">0.56 kg CO2e/kWh</w:t>
      </w:r>
      <w:r>
        <w:br/>
      </w:r>
      <w:r>
        <w:rPr>
          <w:bCs/>
          <w:b/>
        </w:rPr>
        <w:t xml:space="preserve">Emissions from Purchased Electricity (Scope 2):</w:t>
      </w:r>
      <w:r>
        <w:t xml:space="preserve"> </w:t>
      </w:r>
      <w:r>
        <w:t xml:space="preserve">3.5 kWh * 0.56 kg CO2e/kWh = 1.96 kg CO2e</w:t>
      </w:r>
    </w:p>
    <w:p>
      <w:pPr>
        <w:pStyle w:val="BodyText"/>
      </w:pPr>
      <w:r>
        <w:rPr>
          <w:iCs/>
          <w:i/>
        </w:rPr>
        <w:t xml:space="preserve">Note: Direct fuel combustion (Scope 1) for manufacturing processes would be added here if specific data were provided. For the purpose of this report, we assume the primary manufacturing energy impact is from electricity.</w:t>
      </w:r>
    </w:p>
    <w:p>
      <w:pPr>
        <w:pStyle w:val="BodyText"/>
      </w:pPr>
      <w:r>
        <w:rPr>
          <w:bCs/>
          <w:b/>
        </w:rPr>
        <w:t xml:space="preserve">Subtotal Manufacturing Footprint (Scope 2): 1.96 kg CO2e</w:t>
      </w:r>
    </w:p>
    <w:bookmarkEnd w:id="27"/>
    <w:bookmarkStart w:id="28" w:name="Xa72cd89f200eee69afd134ad22c65583d62e21f"/>
    <w:p>
      <w:pPr>
        <w:pStyle w:val="Heading3"/>
      </w:pPr>
      <w:r>
        <w:t xml:space="preserve">Transportation (Scope 3 Upstream &amp; Downstream)</w:t>
      </w:r>
    </w:p>
    <w:p>
      <w:pPr>
        <w:pStyle w:val="FirstParagraph"/>
      </w:pPr>
      <w:r>
        <w:t xml:space="preserve">Logistics data, crucial for supply chain analysis, includes:</w:t>
      </w:r>
    </w:p>
    <w:p>
      <w:pPr>
        <w:numPr>
          <w:ilvl w:val="0"/>
          <w:numId w:val="1005"/>
        </w:numPr>
        <w:pStyle w:val="Compact"/>
      </w:pPr>
      <w:r>
        <w:rPr>
          <w:bCs/>
          <w:b/>
        </w:rPr>
        <w:t xml:space="preserve">Transport Mode:</w:t>
      </w:r>
      <w:r>
        <w:t xml:space="preserve"> </w:t>
      </w:r>
      <w:r>
        <w:t xml:space="preserve">Select Mode (e.g., Container Ship for main leg, Truck for last-mile)</w:t>
      </w:r>
    </w:p>
    <w:p>
      <w:pPr>
        <w:numPr>
          <w:ilvl w:val="0"/>
          <w:numId w:val="1005"/>
        </w:numPr>
        <w:pStyle w:val="Compact"/>
      </w:pPr>
      <w:r>
        <w:rPr>
          <w:bCs/>
          <w:b/>
        </w:rPr>
        <w:t xml:space="preserve">Transport Distance:</w:t>
      </w:r>
      <w:r>
        <w:t xml:space="preserve"> </w:t>
      </w:r>
      <w:r>
        <w:t xml:space="preserve">mvsmzwwivi (e.g., 15,000 km by ship, 500 km by truck)</w:t>
      </w:r>
    </w:p>
    <w:p>
      <w:pPr>
        <w:numPr>
          <w:ilvl w:val="0"/>
          <w:numId w:val="1005"/>
        </w:numPr>
        <w:pStyle w:val="Compact"/>
      </w:pPr>
      <w:r>
        <w:rPr>
          <w:bCs/>
          <w:b/>
        </w:rPr>
        <w:t xml:space="preserve">Last-Mile Delivery Channel:</w:t>
      </w:r>
      <w:r>
        <w:t xml:space="preserve"> </w:t>
      </w:r>
      <w:r>
        <w:t xml:space="preserve">Delivery Type (e.g., Light Commercial Vehicle)</w:t>
      </w:r>
    </w:p>
    <w:p>
      <w:pPr>
        <w:pStyle w:val="FirstParagraph"/>
      </w:pPr>
      <w:r>
        <w:t xml:space="preserve">Using representative DEFRA emission factors for transport:</w:t>
      </w:r>
    </w:p>
    <w:p>
      <w:pPr>
        <w:pStyle w:val="BodyText"/>
      </w:pPr>
      <w:r>
        <w:rPr>
          <w:bCs/>
          <w:b/>
        </w:rPr>
        <w:t xml:space="preserve">Upstream Transport (e.g., materials from Europe to China, final product from China to Europe):</w:t>
      </w:r>
      <w:r>
        <w:br/>
      </w:r>
      <w:r>
        <w:t xml:space="preserve">Assuming 1 unit of product weighs approx. 1.5 kg (based on BOM example materials).</w:t>
      </w:r>
    </w:p>
    <w:p>
      <w:pPr>
        <w:numPr>
          <w:ilvl w:val="0"/>
          <w:numId w:val="1006"/>
        </w:numPr>
        <w:pStyle w:val="Compact"/>
      </w:pPr>
      <w:r>
        <w:rPr>
          <w:bCs/>
          <w:b/>
        </w:rPr>
        <w:t xml:space="preserve">Ocean Freight (Container Ship, long-haul):</w:t>
      </w:r>
    </w:p>
    <w:p>
      <w:pPr>
        <w:numPr>
          <w:ilvl w:val="1"/>
          <w:numId w:val="1007"/>
        </w:numPr>
        <w:pStyle w:val="Compact"/>
      </w:pPr>
      <w:r>
        <w:t xml:space="preserve">Distance: 15,000 km (example for mvsmzwwivi)</w:t>
      </w:r>
    </w:p>
    <w:p>
      <w:pPr>
        <w:numPr>
          <w:ilvl w:val="1"/>
          <w:numId w:val="1007"/>
        </w:numPr>
        <w:pStyle w:val="Compact"/>
      </w:pPr>
      <w:r>
        <w:t xml:space="preserve">Emission Factor (Container Ship, per tonne-km, example): 0.01 kg CO2e/t-km</w:t>
      </w:r>
    </w:p>
    <w:p>
      <w:pPr>
        <w:numPr>
          <w:ilvl w:val="1"/>
          <w:numId w:val="1007"/>
        </w:numPr>
        <w:pStyle w:val="Compact"/>
      </w:pPr>
      <w:r>
        <w:t xml:space="preserve">Emissions: 15,000 km * (1.5 kg / 1000 kg/tonne) * 0.01 kg CO2e/t-km = 0.225 kg CO2e</w:t>
      </w:r>
    </w:p>
    <w:p>
      <w:pPr>
        <w:numPr>
          <w:ilvl w:val="0"/>
          <w:numId w:val="1006"/>
        </w:numPr>
        <w:pStyle w:val="Compact"/>
      </w:pPr>
      <w:r>
        <w:rPr>
          <w:bCs/>
          <w:b/>
        </w:rPr>
        <w:t xml:space="preserve">Road Freight (Heavy Goods Vehicle, EU supply chain, example):</w:t>
      </w:r>
    </w:p>
    <w:p>
      <w:pPr>
        <w:numPr>
          <w:ilvl w:val="1"/>
          <w:numId w:val="1008"/>
        </w:numPr>
        <w:pStyle w:val="Compact"/>
      </w:pPr>
      <w:r>
        <w:t xml:space="preserve">Distance: 1,000 km (example for Europe focused supply chain)</w:t>
      </w:r>
    </w:p>
    <w:p>
      <w:pPr>
        <w:numPr>
          <w:ilvl w:val="1"/>
          <w:numId w:val="1008"/>
        </w:numPr>
        <w:pStyle w:val="Compact"/>
      </w:pPr>
      <w:r>
        <w:t xml:space="preserve">Emission Factor (HGV, per tonne-km, example): 0.08 kg CO2e/t-km</w:t>
      </w:r>
    </w:p>
    <w:p>
      <w:pPr>
        <w:numPr>
          <w:ilvl w:val="1"/>
          <w:numId w:val="1008"/>
        </w:numPr>
        <w:pStyle w:val="Compact"/>
      </w:pPr>
      <w:r>
        <w:t xml:space="preserve">Emissions: 1,000 km * (1.5 kg / 1000 kg/tonne) * 0.08 kg CO2e/t-km = 0.12 kg CO2e</w:t>
      </w:r>
    </w:p>
    <w:p>
      <w:pPr>
        <w:pStyle w:val="FirstParagraph"/>
      </w:pPr>
      <w:r>
        <w:rPr>
          <w:bCs/>
          <w:b/>
        </w:rPr>
        <w:t xml:space="preserve">Downstream Transport (Last-Mile Delivery in Europe):</w:t>
      </w:r>
      <w:r>
        <w:br/>
      </w:r>
      <w:r>
        <w:t xml:space="preserve">Using "Delivery Type" (e.g., Light Commercial Vehicle) for a distance of 500 km.</w:t>
      </w:r>
    </w:p>
    <w:p>
      <w:pPr>
        <w:numPr>
          <w:ilvl w:val="0"/>
          <w:numId w:val="1009"/>
        </w:numPr>
        <w:pStyle w:val="Compact"/>
      </w:pPr>
      <w:r>
        <w:rPr>
          <w:bCs/>
          <w:b/>
        </w:rPr>
        <w:t xml:space="preserve">Road Freight (Light Commercial Vehicle, per tonne-km, example):</w:t>
      </w:r>
      <w:r>
        <w:t xml:space="preserve"> </w:t>
      </w:r>
      <w:r>
        <w:t xml:space="preserve">0.20 kg CO2e/t-km</w:t>
      </w:r>
    </w:p>
    <w:p>
      <w:pPr>
        <w:numPr>
          <w:ilvl w:val="0"/>
          <w:numId w:val="1009"/>
        </w:numPr>
        <w:pStyle w:val="Compact"/>
      </w:pPr>
      <w:r>
        <w:rPr>
          <w:bCs/>
          <w:b/>
        </w:rPr>
        <w:t xml:space="preserve">Emissions:</w:t>
      </w:r>
      <w:r>
        <w:t xml:space="preserve"> </w:t>
      </w:r>
      <w:r>
        <w:t xml:space="preserve">500 km * (1.5 kg / 1000 kg/tonne) * 0.20 kg CO2e/t-km = 0.15 kg CO2e</w:t>
      </w:r>
    </w:p>
    <w:p>
      <w:pPr>
        <w:pStyle w:val="FirstParagraph"/>
      </w:pPr>
      <w:r>
        <w:rPr>
          <w:bCs/>
          <w:b/>
        </w:rPr>
        <w:t xml:space="preserve">Subtotal Transportation Footprint (Scope 3 Upstream &amp; Downstream): 0.225 + 0.12 + 0.15 = 0.495 kg CO2e</w:t>
      </w:r>
    </w:p>
    <w:bookmarkEnd w:id="28"/>
    <w:bookmarkStart w:id="29" w:name="product-use-phase-scope-3-downstream"/>
    <w:p>
      <w:pPr>
        <w:pStyle w:val="Heading3"/>
      </w:pPr>
      <w:r>
        <w:t xml:space="preserve">Product Use Phase (Scope 3 Downstream)</w:t>
      </w:r>
    </w:p>
    <w:p>
      <w:pPr>
        <w:pStyle w:val="FirstParagraph"/>
      </w:pPr>
      <w:r>
        <w:t xml:space="preserve">The use phase calculation expands using specific durability and consumption data:</w:t>
      </w:r>
    </w:p>
    <w:p>
      <w:pPr>
        <w:numPr>
          <w:ilvl w:val="0"/>
          <w:numId w:val="1010"/>
        </w:numPr>
        <w:pStyle w:val="Compact"/>
      </w:pPr>
      <w:r>
        <w:rPr>
          <w:bCs/>
          <w:b/>
        </w:rPr>
        <w:t xml:space="preserve">Product Lifespan:</w:t>
      </w:r>
      <w:r>
        <w:t xml:space="preserve"> </w:t>
      </w:r>
      <w:r>
        <w:t xml:space="preserve">dfqwygwedt (e.g., 5 years)</w:t>
      </w:r>
    </w:p>
    <w:p>
      <w:pPr>
        <w:numPr>
          <w:ilvl w:val="0"/>
          <w:numId w:val="1010"/>
        </w:numPr>
        <w:pStyle w:val="Compact"/>
      </w:pPr>
      <w:r>
        <w:rPr>
          <w:bCs/>
          <w:b/>
        </w:rPr>
        <w:t xml:space="preserve">Energy Consumption in Use:</w:t>
      </w:r>
      <w:r>
        <w:t xml:space="preserve"> </w:t>
      </w:r>
      <w:r>
        <w:t xml:space="preserve">ezqhjypfvr (e.g., 10 kWh/year)</w:t>
      </w:r>
    </w:p>
    <w:p>
      <w:pPr>
        <w:pStyle w:val="FirstParagraph"/>
      </w:pPr>
      <w:r>
        <w:t xml:space="preserve">Assuming use in Europe (e.g., average EU grid mix). The average EU carbon factor was 181 kg CO2/MWh (0.181 kg CO2e/kWh) in 2024. The EU electricity sector\'s GHG emission intensity has continued to fall, reaching 9% lower in 2024 on average than in 2023.</w:t>
      </w:r>
    </w:p>
    <w:p>
      <w:pPr>
        <w:pStyle w:val="BodyText"/>
      </w:pPr>
      <w:r>
        <w:rPr>
          <w:bCs/>
          <w:b/>
        </w:rPr>
        <w:t xml:space="preserve">Total Energy Consumption over Lifespan:</w:t>
      </w:r>
      <w:r>
        <w:t xml:space="preserve"> </w:t>
      </w:r>
      <w:r>
        <w:t xml:space="preserve">10 kWh/year * 5 years = 50 kWh</w:t>
      </w:r>
      <w:r>
        <w:br/>
      </w:r>
      <w:r>
        <w:rPr>
          <w:bCs/>
          <w:b/>
        </w:rPr>
        <w:t xml:space="preserve">European Grid Emission Factor (example for 2025/2026):</w:t>
      </w:r>
      <w:r>
        <w:t xml:space="preserve"> </w:t>
      </w:r>
      <w:r>
        <w:t xml:space="preserve">0.18 kg CO2e/kWh (based on recent trends)</w:t>
      </w:r>
      <w:r>
        <w:br/>
      </w:r>
      <w:r>
        <w:rPr>
          <w:bCs/>
          <w:b/>
        </w:rPr>
        <w:t xml:space="preserve">Emissions from Product Use:</w:t>
      </w:r>
      <w:r>
        <w:t xml:space="preserve"> </w:t>
      </w:r>
      <w:r>
        <w:t xml:space="preserve">50 kWh * 0.18 kg CO2e/kWh = 9.00 kg CO2e</w:t>
      </w:r>
    </w:p>
    <w:p>
      <w:pPr>
        <w:pStyle w:val="BodyText"/>
      </w:pPr>
      <w:r>
        <w:rPr>
          <w:bCs/>
          <w:b/>
        </w:rPr>
        <w:t xml:space="preserve">Subtotal Use Phase Footprint (Scope 3 Downstream): 9.00 kg CO2e</w:t>
      </w:r>
    </w:p>
    <w:bookmarkEnd w:id="29"/>
    <w:bookmarkStart w:id="30" w:name="X0b1a7869ec5c89eda6252c7ad7e638ee66010db"/>
    <w:p>
      <w:pPr>
        <w:pStyle w:val="Heading3"/>
      </w:pPr>
      <w:r>
        <w:t xml:space="preserve">End-of-Life (EoL) Scenarios (Scope 3 Downstream)</w:t>
      </w:r>
    </w:p>
    <w:p>
      <w:pPr>
        <w:pStyle w:val="FirstParagraph"/>
      </w:pPr>
      <w:r>
        <w:t xml:space="preserve">EoL scenarios incorporate circular economy impacts:</w:t>
      </w:r>
    </w:p>
    <w:p>
      <w:pPr>
        <w:numPr>
          <w:ilvl w:val="0"/>
          <w:numId w:val="1011"/>
        </w:numPr>
        <w:pStyle w:val="Compact"/>
      </w:pPr>
      <w:r>
        <w:rPr>
          <w:bCs/>
          <w:b/>
        </w:rPr>
        <w:t xml:space="preserve">Recyclability Percentage:</w:t>
      </w:r>
      <w:r>
        <w:t xml:space="preserve"> </w:t>
      </w:r>
      <w:r>
        <w:t xml:space="preserve">thnzllphft (e.g., 70% of material mass is recyclable)</w:t>
      </w:r>
    </w:p>
    <w:p>
      <w:pPr>
        <w:numPr>
          <w:ilvl w:val="0"/>
          <w:numId w:val="1011"/>
        </w:numPr>
        <w:pStyle w:val="Compact"/>
      </w:pPr>
      <w:r>
        <w:rPr>
          <w:bCs/>
          <w:b/>
        </w:rPr>
        <w:t xml:space="preserve">Circular/Take-back Programs:</w:t>
      </w:r>
      <w:r>
        <w:t xml:space="preserve"> </w:t>
      </w:r>
      <w:r>
        <w:t xml:space="preserve">drklqxdurw (e.g., active take-back program for key components)</w:t>
      </w:r>
    </w:p>
    <w:p>
      <w:pPr>
        <w:pStyle w:val="FirstParagraph"/>
      </w:pPr>
      <w:r>
        <w:t xml:space="preserve">Assuming 70% of the product (by mass, 1.5 kg total example mass * 0.70 = 1.05 kg) is recycled and 30% (0.45 kg) goes to landfill, with credits/debits applied.</w:t>
      </w:r>
    </w:p>
    <w:p>
      <w:pPr>
        <w:pStyle w:val="BodyText"/>
      </w:pPr>
      <w:r>
        <w:rPr>
          <w:bCs/>
          <w:b/>
        </w:rPr>
        <w:t xml:space="preserve">Recycling Emissions/Credits:</w:t>
      </w:r>
      <w:r>
        <w:t xml:space="preserve"> </w:t>
      </w:r>
      <w:r>
        <w:t xml:space="preserve">Emissions from recycling processes are generally lower than virgin material production, sometimes resulting in credits if avoided virgin production is considered. For demonstration, we\'ll assume a small net emission for processing recycled content, acknowledging the complexity of actual EoL calculations.</w:t>
      </w:r>
    </w:p>
    <w:p>
      <w:pPr>
        <w:numPr>
          <w:ilvl w:val="0"/>
          <w:numId w:val="1012"/>
        </w:numPr>
        <w:pStyle w:val="Compact"/>
      </w:pPr>
      <w:r>
        <w:rPr>
          <w:bCs/>
          <w:b/>
        </w:rPr>
        <w:t xml:space="preserve">Recycling Processing Emission (example):</w:t>
      </w:r>
      <w:r>
        <w:t xml:space="preserve"> </w:t>
      </w:r>
      <w:r>
        <w:t xml:space="preserve">0.1 kg CO2e/kg for recyclable materials</w:t>
      </w:r>
    </w:p>
    <w:p>
      <w:pPr>
        <w:numPr>
          <w:ilvl w:val="0"/>
          <w:numId w:val="1012"/>
        </w:numPr>
        <w:pStyle w:val="Compact"/>
      </w:pPr>
      <w:r>
        <w:rPr>
          <w:bCs/>
          <w:b/>
        </w:rPr>
        <w:t xml:space="preserve">Emissions from Recycling:</w:t>
      </w:r>
      <w:r>
        <w:t xml:space="preserve"> </w:t>
      </w:r>
      <w:r>
        <w:t xml:space="preserve">1.05 kg * 0.1 kg CO2e/kg = 0.105 kg CO2e</w:t>
      </w:r>
    </w:p>
    <w:p>
      <w:pPr>
        <w:pStyle w:val="FirstParagraph"/>
      </w:pPr>
      <w:r>
        <w:rPr>
          <w:bCs/>
          <w:b/>
        </w:rPr>
        <w:t xml:space="preserve">Landfill Emissions:</w:t>
      </w:r>
      <w:r>
        <w:t xml:space="preserve"> </w:t>
      </w:r>
      <w:r>
        <w:t xml:space="preserve">For plastics, landfilling can result in very low GHG emissions as plastic does not decompose. Other materials might have different impacts.</w:t>
      </w:r>
    </w:p>
    <w:p>
      <w:pPr>
        <w:numPr>
          <w:ilvl w:val="0"/>
          <w:numId w:val="1013"/>
        </w:numPr>
        <w:pStyle w:val="Compact"/>
      </w:pPr>
      <w:r>
        <w:rPr>
          <w:bCs/>
          <w:b/>
        </w:rPr>
        <w:t xml:space="preserve">Landfill Emission (example for plastics/mixed waste):</w:t>
      </w:r>
      <w:r>
        <w:t xml:space="preserve"> </w:t>
      </w:r>
      <w:r>
        <w:t xml:space="preserve">0.05 kg CO2e/kg</w:t>
      </w:r>
    </w:p>
    <w:p>
      <w:pPr>
        <w:numPr>
          <w:ilvl w:val="0"/>
          <w:numId w:val="1013"/>
        </w:numPr>
        <w:pStyle w:val="Compact"/>
      </w:pPr>
      <w:r>
        <w:rPr>
          <w:bCs/>
          <w:b/>
        </w:rPr>
        <w:t xml:space="preserve">Emissions from Landfill:</w:t>
      </w:r>
      <w:r>
        <w:t xml:space="preserve"> </w:t>
      </w:r>
      <w:r>
        <w:t xml:space="preserve">0.45 kg * 0.05 kg CO2e/kg = 0.0225 kg CO2e</w:t>
      </w:r>
    </w:p>
    <w:p>
      <w:pPr>
        <w:pStyle w:val="FirstParagraph"/>
      </w:pPr>
      <w:r>
        <w:t xml:space="preserve">The presence of circular/take-back programs (drklqxdurw) suggests opportunities for higher recycling rates and material reuse, which would further reduce the EoL footprint. This is a qualitative benefit in this calculation without specific data.</w:t>
      </w:r>
    </w:p>
    <w:p>
      <w:pPr>
        <w:pStyle w:val="BodyText"/>
      </w:pPr>
      <w:r>
        <w:rPr>
          <w:bCs/>
          <w:b/>
        </w:rPr>
        <w:t xml:space="preserve">Subtotal End-of-Life Footprint (Scope 3 Downstream): 0.105 + 0.0225 = 0.1275 kg CO2e</w:t>
      </w:r>
    </w:p>
    <w:bookmarkEnd w:id="30"/>
    <w:bookmarkEnd w:id="31"/>
    <w:p>
      <w:r>
        <w:pict>
          <v:rect style="width:0;height:1.5pt" o:hralign="center" o:hrstd="t" o:hr="t"/>
        </w:pict>
      </w:r>
    </w:p>
    <w:bookmarkStart w:id="33" w:name="calculation-of-emissions-co2e"/>
    <w:p>
      <w:pPr>
        <w:pStyle w:val="Heading2"/>
      </w:pPr>
      <w:r>
        <w:t xml:space="preserve">4. Calculation of Emissions (CO2e)</w:t>
      </w:r>
    </w:p>
    <w:p>
      <w:pPr>
        <w:pStyle w:val="FirstParagraph"/>
      </w:pPr>
      <w:r>
        <w:t xml:space="preserve">The total Product Carbon Footprint (PCF) for one functional unit of hqpeswmmpg is the sum of emissions from all lifecycle stages, categorized by GHG Protocol Scopes.</w:t>
      </w:r>
    </w:p>
    <w:bookmarkStart w:id="32"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Estimated Emissions (kg CO2e)</w:t>
            </w:r>
          </w:p>
        </w:tc>
      </w:tr>
      <w:tr>
        <w:tc>
          <w:tcPr/>
          <w:p>
            <w:pPr>
              <w:pStyle w:val="Compact"/>
              <w:jc w:val="left"/>
            </w:pPr>
            <w:r>
              <w:t xml:space="preserve">Scope 1</w:t>
            </w:r>
          </w:p>
        </w:tc>
        <w:tc>
          <w:tcPr/>
          <w:p>
            <w:pPr>
              <w:pStyle w:val="Compact"/>
              <w:jc w:val="left"/>
            </w:pPr>
            <w:r>
              <w:t xml:space="preserve">Direct Emissions from Manufacturing (e.g., on-site fuel combustion)</w:t>
            </w:r>
          </w:p>
        </w:tc>
        <w:tc>
          <w:tcPr/>
          <w:p>
            <w:pPr>
              <w:pStyle w:val="Compact"/>
              <w:jc w:val="left"/>
            </w:pPr>
            <w:r>
              <w:t xml:space="preserve">0.00 (Assumed negligible without specific data)</w:t>
            </w:r>
          </w:p>
        </w:tc>
      </w:tr>
      <w:tr>
        <w:tc>
          <w:tcPr/>
          <w:p>
            <w:pPr>
              <w:pStyle w:val="Compact"/>
              <w:jc w:val="left"/>
            </w:pPr>
            <w:r>
              <w:t xml:space="preserve">Scope 2</w:t>
            </w:r>
          </w:p>
        </w:tc>
        <w:tc>
          <w:tcPr/>
          <w:p>
            <w:pPr>
              <w:pStyle w:val="Compact"/>
              <w:jc w:val="left"/>
            </w:pPr>
            <w:r>
              <w:t xml:space="preserve">Indirect Emissions from Purchased Electricity (Manufacturing)</w:t>
            </w:r>
          </w:p>
        </w:tc>
        <w:tc>
          <w:tcPr/>
          <w:p>
            <w:pPr>
              <w:pStyle w:val="Compact"/>
              <w:jc w:val="left"/>
            </w:pPr>
            <w:r>
              <w:t xml:space="preserve">1.96</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8.14</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0.345</w:t>
            </w:r>
          </w:p>
        </w:tc>
      </w:tr>
      <w:tr>
        <w:tc>
          <w:tcPr/>
          <w:p>
            <w:pPr>
              <w:pStyle w:val="Compact"/>
              <w:jc w:val="left"/>
            </w:pPr>
            <w:r>
              <w:t xml:space="preserve">Scope 3 (Downstream)</w:t>
            </w:r>
          </w:p>
        </w:tc>
        <w:tc>
          <w:tcPr/>
          <w:p>
            <w:pPr>
              <w:pStyle w:val="Compact"/>
              <w:jc w:val="left"/>
            </w:pPr>
            <w:r>
              <w:t xml:space="preserve">Downstream Transportation (Last-Mile Delivery)</w:t>
            </w:r>
          </w:p>
        </w:tc>
        <w:tc>
          <w:tcPr/>
          <w:p>
            <w:pPr>
              <w:pStyle w:val="Compact"/>
              <w:jc w:val="left"/>
            </w:pPr>
            <w:r>
              <w:t xml:space="preserve">0.15</w:t>
            </w:r>
          </w:p>
        </w:tc>
      </w:tr>
      <w:tr>
        <w:tc>
          <w:tcPr/>
          <w:p>
            <w:pPr>
              <w:pStyle w:val="Compact"/>
              <w:jc w:val="left"/>
            </w:pPr>
            <w:r>
              <w:t xml:space="preserve">Scope 3 (Downstream)</w:t>
            </w:r>
          </w:p>
        </w:tc>
        <w:tc>
          <w:tcPr/>
          <w:p>
            <w:pPr>
              <w:pStyle w:val="Compact"/>
              <w:jc w:val="left"/>
            </w:pPr>
            <w:r>
              <w:t xml:space="preserve">Product Use Phase</w:t>
            </w:r>
          </w:p>
        </w:tc>
        <w:tc>
          <w:tcPr/>
          <w:p>
            <w:pPr>
              <w:pStyle w:val="Compact"/>
              <w:jc w:val="left"/>
            </w:pPr>
            <w:r>
              <w:t xml:space="preserve">9.00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0.1275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19.7225 kg CO2e</w:t>
            </w:r>
          </w:p>
        </w:tc>
      </w:tr>
    </w:tbl>
    <w:p>
      <w:pPr>
        <w:pStyle w:val="BodyText"/>
      </w:pPr>
      <w:r>
        <w:rPr>
          <w:iCs/>
          <w:i/>
        </w:rPr>
        <w:t xml:space="preserve">Note: The total PCF is approximately</w:t>
      </w:r>
      <w:r>
        <w:rPr>
          <w:iCs/>
          <w:i/>
        </w:rPr>
        <w:t xml:space="preserve"> </w:t>
      </w:r>
      <w:r>
        <w:rPr>
          <w:bCs/>
          <w:b/>
          <w:iCs/>
          <w:i/>
        </w:rPr>
        <w:t xml:space="preserve">19.72 kg CO2e</w:t>
      </w:r>
      <w:r>
        <w:rPr>
          <w:iCs/>
          <w:i/>
        </w:rPr>
        <w:t xml:space="preserve"> </w:t>
      </w:r>
      <w:r>
        <w:rPr>
          <w:iCs/>
          <w:i/>
        </w:rPr>
        <w:t xml:space="preserve">per 1.0 unit of hqpeswmmpg. Scope 1 emissions are considered negligible in this analysis due to a lack of specific direct combustion data for the manufacturing phase, assuming electricity as the primary energy source.</w:t>
      </w:r>
    </w:p>
    <w:p>
      <w:pPr>
        <w:pStyle w:val="BodyText"/>
      </w:pPr>
      <w:r>
        <w:t xml:space="preserve">This breakdown clearly illustrates the dominance of Scope 3 emissions, which account for the vast majority of the product\'s environmental impact, reinforcing the importance of a comprehensive value chain assessment.</w:t>
      </w:r>
    </w:p>
    <w:bookmarkEnd w:id="32"/>
    <w:bookmarkEnd w:id="33"/>
    <w:p>
      <w:r>
        <w:pict>
          <v:rect style="width:0;height:1.5pt" o:hralign="center" o:hrstd="t" o:hr="t"/>
        </w:pict>
      </w:r>
    </w:p>
    <w:bookmarkStart w:id="37" w:name="review-report-hotspots-and-reliability"/>
    <w:p>
      <w:pPr>
        <w:pStyle w:val="Heading2"/>
      </w:pPr>
      <w:r>
        <w:t xml:space="preserve">5. Review &amp; Report: Hotspots and Reliability</w:t>
      </w:r>
    </w:p>
    <w:bookmarkStart w:id="34" w:name="emissions-hotspots"/>
    <w:p>
      <w:pPr>
        <w:pStyle w:val="Heading3"/>
      </w:pPr>
      <w:r>
        <w:t xml:space="preserve">Emissions Hotspots</w:t>
      </w:r>
    </w:p>
    <w:p>
      <w:pPr>
        <w:pStyle w:val="FirstParagraph"/>
      </w:pPr>
      <w:r>
        <w:t xml:space="preserve">Based on the calculations, the primary emissions hotspots for hqpeswmmpg are:</w:t>
      </w:r>
    </w:p>
    <w:p>
      <w:pPr>
        <w:numPr>
          <w:ilvl w:val="0"/>
          <w:numId w:val="1014"/>
        </w:numPr>
        <w:pStyle w:val="Compact"/>
      </w:pPr>
      <w:r>
        <w:rPr>
          <w:bCs/>
          <w:b/>
        </w:rPr>
        <w:t xml:space="preserve">Materials Acquisition &amp; Pre-processing (Scope 3 Upstream):</w:t>
      </w:r>
      <w:r>
        <w:t xml:space="preserve"> </w:t>
      </w:r>
      <w:r>
        <w:t xml:space="preserve">This stage contributes significantly due to the energy-intensive nature of producing materials like aluminum, silicon, and even certain plastics. The selection of lower-impact materials or those with higher recycled content could lead to substantial reductions.</w:t>
      </w:r>
    </w:p>
    <w:p>
      <w:pPr>
        <w:numPr>
          <w:ilvl w:val="0"/>
          <w:numId w:val="1014"/>
        </w:numPr>
        <w:pStyle w:val="Compact"/>
      </w:pPr>
      <w:r>
        <w:rPr>
          <w:bCs/>
          <w:b/>
        </w:rPr>
        <w:t xml:space="preserve">Product Use Phase (Scope 3 Downstream):</w:t>
      </w:r>
      <w:r>
        <w:t xml:space="preserve"> </w:t>
      </w:r>
      <w:r>
        <w:t xml:space="preserve">The energy consumption during the product\'s lifespan is a major contributor, especially if the product is energy-intensive and used in regions with a high carbon intensity grid mix. Strategies here could include improving energy efficiency, extending product lifespan, or promoting use with renewable energy sources.</w:t>
      </w:r>
    </w:p>
    <w:bookmarkEnd w:id="34"/>
    <w:bookmarkStart w:id="35" w:name="data-reliability-and-limitations"/>
    <w:p>
      <w:pPr>
        <w:pStyle w:val="Heading3"/>
      </w:pPr>
      <w:r>
        <w:t xml:space="preserve">Data Reliability and Limitations</w:t>
      </w:r>
    </w:p>
    <w:p>
      <w:pPr>
        <w:pStyle w:val="FirstParagraph"/>
      </w:pPr>
      <w:r>
        <w:t xml:space="preserve">The reliability of this PCF analysis is high for the parameters explicitly provided. However, some limitations exist:</w:t>
      </w:r>
    </w:p>
    <w:p>
      <w:pPr>
        <w:numPr>
          <w:ilvl w:val="0"/>
          <w:numId w:val="1015"/>
        </w:numPr>
        <w:pStyle w:val="Compact"/>
      </w:pPr>
      <w:r>
        <w:rPr>
          <w:bCs/>
          <w:b/>
        </w:rPr>
        <w:t xml:space="preserve">Placeholder Data:</w:t>
      </w:r>
      <w:r>
        <w:t xml:space="preserve"> </w:t>
      </w:r>
      <w:r>
        <w:t xml:space="preserve">Due to the input format of certain parameters (e.g., "mofhdnxr" for BOM, "mvsmzwwivi" for distance), illustrative numerical values and representative emission factors from Ecoinvent and DEFRA have been used for calculations. Actual, company-specific primary data for all activities would enhance accuracy.</w:t>
      </w:r>
    </w:p>
    <w:p>
      <w:pPr>
        <w:numPr>
          <w:ilvl w:val="0"/>
          <w:numId w:val="1015"/>
        </w:numPr>
        <w:pStyle w:val="Compact"/>
      </w:pPr>
      <w:r>
        <w:rPr>
          <w:bCs/>
          <w:b/>
        </w:rPr>
        <w:t xml:space="preserve">System Boundary:</w:t>
      </w:r>
      <w:r>
        <w:t xml:space="preserve"> </w:t>
      </w:r>
      <w:r>
        <w:t xml:space="preserve">While expanded beyond \'factory_gate\' for comprehensive Scope 3, some minor upstream or downstream activities might not be explicitly detailed without more granular process data.</w:t>
      </w:r>
    </w:p>
    <w:p>
      <w:pPr>
        <w:numPr>
          <w:ilvl w:val="0"/>
          <w:numId w:val="1015"/>
        </w:numPr>
        <w:pStyle w:val="Compact"/>
      </w:pPr>
      <w:r>
        <w:rPr>
          <w:bCs/>
          <w:b/>
        </w:rPr>
        <w:t xml:space="preserve">LSR Standard:</w:t>
      </w:r>
      <w:r>
        <w:t xml:space="preserve"> </w:t>
      </w:r>
      <w:r>
        <w:t xml:space="preserve">The 2026 LSR Standard is mentioned conceptually, but detailed land-use emission or removal data specific to hqpeswmmpg\'s supply chain were not available for quantitative integration. Future analyses should incorporate this as the standard becomes effective January 1, 2027, and more guidance is released.</w:t>
      </w:r>
    </w:p>
    <w:bookmarkEnd w:id="35"/>
    <w:bookmarkStart w:id="36" w:name="recommendations-for-emission-reduction"/>
    <w:p>
      <w:pPr>
        <w:pStyle w:val="Heading3"/>
      </w:pPr>
      <w:r>
        <w:t xml:space="preserve">Recommendations for Emission Reduction</w:t>
      </w:r>
    </w:p>
    <w:p>
      <w:pPr>
        <w:pStyle w:val="FirstParagraph"/>
      </w:pPr>
      <w:r>
        <w:t xml:space="preserve">To reduce the Product Carbon Footprint of hqpeswmmpg, glpwtfiium should consider:</w:t>
      </w:r>
    </w:p>
    <w:p>
      <w:pPr>
        <w:numPr>
          <w:ilvl w:val="0"/>
          <w:numId w:val="1016"/>
        </w:numPr>
        <w:pStyle w:val="Compact"/>
      </w:pPr>
      <w:r>
        <w:rPr>
          <w:bCs/>
          <w:b/>
        </w:rPr>
        <w:t xml:space="preserve">Material Optimization:</w:t>
      </w:r>
      <w:r>
        <w:t xml:space="preserve"> </w:t>
      </w:r>
      <w:r>
        <w:t xml:space="preserve">Explore alternative, lower-carbon materials or increase the recycled content of existing materials in the BOM. Engage with suppliers to understand their decarbonization efforts for material production.</w:t>
      </w:r>
    </w:p>
    <w:p>
      <w:pPr>
        <w:numPr>
          <w:ilvl w:val="0"/>
          <w:numId w:val="1016"/>
        </w:numPr>
        <w:pStyle w:val="Compact"/>
      </w:pPr>
      <w:r>
        <w:rPr>
          <w:bCs/>
          <w:b/>
        </w:rPr>
        <w:t xml:space="preserve">Energy Efficiency in Manufacturing:</w:t>
      </w:r>
      <w:r>
        <w:t xml:space="preserve"> </w:t>
      </w:r>
      <w:r>
        <w:t xml:space="preserve">Further optimize production processes in China to reduce energy intensity. Increase the percentage of renewable energy used in manufacturing operations (lzvfneokqx).</w:t>
      </w:r>
    </w:p>
    <w:p>
      <w:pPr>
        <w:numPr>
          <w:ilvl w:val="0"/>
          <w:numId w:val="1016"/>
        </w:numPr>
        <w:pStyle w:val="Compact"/>
      </w:pPr>
      <w:r>
        <w:rPr>
          <w:bCs/>
          <w:b/>
        </w:rPr>
        <w:t xml:space="preserve">Logistics Efficiency:</w:t>
      </w:r>
      <w:r>
        <w:t xml:space="preserve"> </w:t>
      </w:r>
      <w:r>
        <w:t xml:space="preserve">Optimize transport modes (Select Mode), routes (mvsmzwwivi), and last-mile delivery channels (Delivery Type) to minimize fuel consumption and emissions. Consider electric or alternative-fuel vehicles for transportation.</w:t>
      </w:r>
    </w:p>
    <w:p>
      <w:pPr>
        <w:numPr>
          <w:ilvl w:val="0"/>
          <w:numId w:val="1016"/>
        </w:numPr>
        <w:pStyle w:val="Compact"/>
      </w:pPr>
      <w:r>
        <w:rPr>
          <w:bCs/>
          <w:b/>
        </w:rPr>
        <w:t xml:space="preserve">Product Energy Efficiency:</w:t>
      </w:r>
      <w:r>
        <w:t xml:space="preserve"> </w:t>
      </w:r>
      <w:r>
        <w:t xml:space="preserve">Design hqpeswmmpg for even lower energy consumption during its use phase (ezqhjypfvr).</w:t>
      </w:r>
    </w:p>
    <w:p>
      <w:pPr>
        <w:numPr>
          <w:ilvl w:val="0"/>
          <w:numId w:val="1016"/>
        </w:numPr>
        <w:pStyle w:val="Compact"/>
      </w:pPr>
      <w:r>
        <w:rPr>
          <w:bCs/>
          <w:b/>
        </w:rPr>
        <w:t xml:space="preserve">Circular Economy Integration:</w:t>
      </w:r>
      <w:r>
        <w:t xml:space="preserve"> </w:t>
      </w:r>
      <w:r>
        <w:t xml:space="preserve">Strengthen existing circular/take-back programs (drklqxdurw) and aim for higher recyclability percentages (thnzllphft) to minimize end-of-life impacts and maximize resource efficiency. Investigate opportunities for product refurbishment and reuse.</w:t>
      </w:r>
    </w:p>
    <w:bookmarkEnd w:id="36"/>
    <w:bookmarkEnd w:id="37"/>
    <w:p>
      <w:r>
        <w:pict>
          <v:rect style="width:0;height:1.5pt" o:hralign="center" o:hrstd="t" o:hr="t"/>
        </w:pict>
      </w:r>
    </w:p>
    <w:p>
      <w:pPr>
        <w:pStyle w:val="FirstParagraph"/>
      </w:pPr>
      <w:r>
        <w:t xml:space="preserve">Confidential - Internal Use Only | Page</w:t>
      </w:r>
      <w:r>
        <w:t xml:space="preserve"> </w:t>
      </w:r>
      <w:bookmarkStart w:id="38" w:name="page-num"/>
      <w:bookmarkEnd w:id="3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hqpeswmmpg</dc:title>
  <dc:creator/>
  <dc:description>A high-detail Product Carbon Footprint (PCF) analysis for hqpeswmmpg, adhering to GHG Protocol standards and 2026 LSR Update requirements.</dc:description>
  <dc:language>en</dc:language>
  <cp:keywords/>
  <dcterms:created xsi:type="dcterms:W3CDTF">2026-07-15T04:02:55Z</dcterms:created>
  <dcterms:modified xsi:type="dcterms:W3CDTF">2026-07-15T04:02:55Z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