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hqgrqoutjp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hqgrqoutjp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uoqjdjygxp</w:t>
      </w:r>
    </w:p>
    <w:p>
      <w:pPr>
        <w:pStyle w:val="BodyText"/>
      </w:pPr>
      <w:r>
        <w:rPr>
          <w:bCs/>
          <w:b/>
        </w:rPr>
        <w:t xml:space="preserve">Senior Sustainability Consultant:</w:t>
      </w:r>
      <w:r>
        <w:t xml:space="preserve"> </w:t>
      </w:r>
      <w:r>
        <w:t xml:space="preserve">udigeqnshx</w:t>
      </w:r>
    </w:p>
    <w:p>
      <w:pPr>
        <w:pStyle w:val="BodyText"/>
      </w:pPr>
      <w:r>
        <w:t xml:space="preserve">Disclaimer: This report is generated based on available data and industry standards. Actual emissions may vary depending on specific operational conditions and data accuracy.</w:t>
      </w:r>
    </w:p>
    <w:bookmarkEnd w:id="20"/>
    <w:bookmarkStart w:id="21" w:name="X7a1aa316fd3a80dd4bc8edb09ff96fe45b27c85"/>
    <w:p>
      <w:pPr>
        <w:pStyle w:val="Heading1"/>
      </w:pPr>
      <w:r>
        <w:t xml:space="preserve">Product Carbon Footprint Analysis for hqgrqoutjp</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hqgrqoutjp, conducted for uoqjdjygxp by udigeqnshx, Senior Sustainability Consultant. The analysis adheres strictly to the GHG Protocol accounting standard, incorporating the latest 2026 Land Sector and Removals (LSR) Standard updates and aiming for a minimum of 95% Scope 3 coverage. The assessment covers the full product lifecycle from raw material extraction to end-of-life, providing a comprehensive overview of greenhouse gas (GHG) emissions. Key hotspots are identified to inform strategic reduction efforts and foster a more sustainable value chain.</w:t>
      </w:r>
    </w:p>
    <w:p>
      <w:r>
        <w:pict>
          <v:rect style="width:0;height:1.5pt" o:hralign="center" o:hrstd="t" o:hr="t"/>
        </w:pict>
      </w:r>
    </w:p>
    <w:bookmarkEnd w:id="22"/>
    <w:bookmarkStart w:id="24" w:name="defining-the-scope"/>
    <w:p>
      <w:pPr>
        <w:pStyle w:val="Heading2"/>
      </w:pPr>
      <w:r>
        <w:t xml:space="preserve">1. Defining the Scope</w:t>
      </w:r>
    </w:p>
    <w:p>
      <w:pPr>
        <w:pStyle w:val="FirstParagraph"/>
      </w:pPr>
      <w:r>
        <w:t xml:space="preserve">The first step in a Product Carbon Footprint (PCF) analysis is to clearly define the scope of the assessment, ensuring consistency and comparability of results. This section outlines the fundamental parameters for the hqgrqoutjp product.</w:t>
      </w:r>
    </w:p>
    <w:p>
      <w:pPr>
        <w:numPr>
          <w:ilvl w:val="0"/>
          <w:numId w:val="1001"/>
        </w:numPr>
        <w:pStyle w:val="Compact"/>
      </w:pPr>
      <w:r>
        <w:rPr>
          <w:bCs/>
          <w:b/>
        </w:rPr>
        <w:t xml:space="preserve">Functional Unit:</w:t>
      </w:r>
      <w:r>
        <w:t xml:space="preserve"> </w:t>
      </w:r>
      <w:r>
        <w:t xml:space="preserve">1.0 unit of hqgrqoutjp.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The system boundary encompasses all upstream processes, including raw material acquisition, pre-processing, and manufacturing, up to the point where the finished product leaves the factory gate. For a comprehensive PCF, downstream stages (transportation to consumer, use phase, and end-of-life) are also included in the analysis as per the GHG Protocol Product Standard.</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broader implications of a global supply chain.</w:t>
      </w:r>
    </w:p>
    <w:p>
      <w:pPr>
        <w:numPr>
          <w:ilvl w:val="0"/>
          <w:numId w:val="1001"/>
        </w:numPr>
        <w:pStyle w:val="Compact"/>
      </w:pPr>
      <w:r>
        <w:rPr>
          <w:bCs/>
          <w:b/>
        </w:rPr>
        <w:t xml:space="preserve">Accounting Standard:</w:t>
      </w:r>
      <w:r>
        <w:t xml:space="preserve"> </w:t>
      </w:r>
      <w:r>
        <w:t xml:space="preserve">GHG Protocol. This analysis strictly follows the Greenhouse Gas Protocol\'s Product Life Cycle Accounting and Reporting Standard, ensuring a robust and internationally recognized methodology for quantifying GHG emissions.</w:t>
      </w:r>
    </w:p>
    <w:p>
      <w:pPr>
        <w:numPr>
          <w:ilvl w:val="0"/>
          <w:numId w:val="1001"/>
        </w:numPr>
        <w:pStyle w:val="Compact"/>
      </w:pPr>
      <w:r>
        <w:rPr>
          <w:bCs/>
          <w:b/>
        </w:rPr>
        <w:t xml:space="preserve">Allocation:</w:t>
      </w:r>
      <w:r>
        <w:t xml:space="preserve"> </w:t>
      </w:r>
      <w:r>
        <w:t xml:space="preserve">Where co-production or multi-functional processes occur, emissions are allocated based on physical causality (e.g., mass-based allocation) or other appropriate methods, ensuring no double-counting or omissions.</w:t>
      </w:r>
    </w:p>
    <w:bookmarkStart w:id="23" w:name="ghg-protocol-scopes-and-2026-updates"/>
    <w:p>
      <w:pPr>
        <w:pStyle w:val="Heading3"/>
      </w:pPr>
      <w:r>
        <w:t xml:space="preserve">GHG Protocol Scopes and 2026 Updates</w:t>
      </w:r>
    </w:p>
    <w:p>
      <w:pPr>
        <w:pStyle w:val="FirstParagraph"/>
      </w:pPr>
      <w:r>
        <w:t xml:space="preserve">Emissions are categorized into three scopes as defined by the GHG Protocol:</w:t>
      </w:r>
    </w:p>
    <w:p>
      <w:pPr>
        <w:numPr>
          <w:ilvl w:val="0"/>
          <w:numId w:val="1002"/>
        </w:numPr>
        <w:pStyle w:val="Compact"/>
      </w:pPr>
      <w:r>
        <w:rPr>
          <w:bCs/>
          <w:b/>
        </w:rPr>
        <w:t xml:space="preserve">Scope 1: Direct Emissions.</w:t>
      </w:r>
      <w:r>
        <w:t xml:space="preserve"> </w:t>
      </w:r>
      <w:r>
        <w:t xml:space="preserve">Emissions from sources owned or controlled by the reporting company (e.g., fuel combustion in owned vehicles or facilities). In the context of a factory-gate boundary for the product, direct operational emissions from the immediate manufacturing process not associated with purchased energy might fall here, though often these are considered within Scope 3 for a product\'s life cycle.</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steam, heat, or cooling consumed by the reporting company.</w:t>
      </w:r>
    </w:p>
    <w:p>
      <w:pPr>
        <w:numPr>
          <w:ilvl w:val="0"/>
          <w:numId w:val="1002"/>
        </w:numPr>
        <w:pStyle w:val="Compact"/>
      </w:pPr>
      <w:r>
        <w:rPr>
          <w:bCs/>
          <w:b/>
        </w:rPr>
        <w:t xml:space="preserve">Scope 3: Other Indirect Emissions (Value Chain).</w:t>
      </w:r>
      <w:r>
        <w:t xml:space="preserve"> </w:t>
      </w:r>
      <w:r>
        <w:t xml:space="preserve">All other indirect emissions that occur in the value chain of the reporting company, both upstream and downstream. For most companies, Scope 3 emissions represent the majority of their total carbon footprint. This PCF analysis includes relevant Scope 3 categories such as Purchased Goods and Services (Category 1), Upstream Transportation and Distribution (Category 4), Use of Sold Products (Category 11), and End-of-Life Treatment of Sold Products (Category 12).</w:t>
      </w:r>
    </w:p>
    <w:p>
      <w:pPr>
        <w:pStyle w:val="FirstParagraph"/>
      </w:pPr>
      <w:r>
        <w:rPr>
          <w:bCs/>
          <w:b/>
        </w:rPr>
        <w:t xml:space="preserve">2026 LSR Update:</w:t>
      </w:r>
      <w:r>
        <w:t xml:space="preserve"> </w:t>
      </w:r>
      <w:r>
        <w:t xml:space="preserve">This report applies the Land Sector and Removals (LSR) Standard, released on January 30, 2026. The LSR Standard provides accounting requirements and guidance for quantifying, reporting, and tracking land emissions and CO2 removals, particularly for entities with significant land sector activities or those reporting CO2 removals. While specific land-use data for hqgrqoutjp\'s components is not available for a detailed LSR calculation in this analysis, its principles are acknowledged for future detailed assessments. The associated guidance document is expected in Q2 2026.</w:t>
      </w:r>
    </w:p>
    <w:p>
      <w:pPr>
        <w:pStyle w:val="BodyText"/>
      </w:pPr>
      <w:r>
        <w:rPr>
          <w:bCs/>
          <w:b/>
        </w:rPr>
        <w:t xml:space="preserve">Scope 3 Compliance:</w:t>
      </w:r>
      <w:r>
        <w:t xml:space="preserve"> </w:t>
      </w:r>
      <w:r>
        <w:t xml:space="preserve">As per the 2026 requirements, this report ensures at least 95% coverage for Scope 3 reporting. This means that a minimum of 95% of total required Scope 3 emissions must be accounted for and reported, with exclusions not exceeding 5%. This commitment aims to eliminate selective disclosure and enhance the completeness and transparency of emissions inventories.</w:t>
      </w:r>
    </w:p>
    <w:p>
      <w:r>
        <w:pict>
          <v:rect style="width:0;height:1.5pt" o:hralign="center" o:hrstd="t" o:hr="t"/>
        </w:pict>
      </w:r>
    </w:p>
    <w:bookmarkEnd w:id="23"/>
    <w:bookmarkEnd w:id="24"/>
    <w:bookmarkStart w:id="35" w:name="X02ee0476bd3b09373e5497b8be8e9974c8b887d"/>
    <w:p>
      <w:pPr>
        <w:pStyle w:val="Heading2"/>
      </w:pPr>
      <w:r>
        <w:t xml:space="preserve">2. Mapping the Lifecycle and 3. Collecting Data</w:t>
      </w:r>
    </w:p>
    <w:p>
      <w:pPr>
        <w:pStyle w:val="FirstParagraph"/>
      </w:pPr>
      <w:r>
        <w:t xml:space="preserve">The lifecycle mapping identifies all stages of the product\'s existence that contribute to its carbon footprint. Data collection then quantifies the inputs and outputs at each of these stages, serving as the basis for emission calculations. The lifecycle of hqgrqoutjp is mapped through the following stages, with associated data collection:</w:t>
      </w:r>
    </w:p>
    <w:bookmarkStart w:id="26" w:name="X5fba48d7b85b1fc1d0080a72f3bcf6c0594fa3b"/>
    <w:p>
      <w:pPr>
        <w:pStyle w:val="Heading3"/>
      </w:pPr>
      <w:r>
        <w:t xml:space="preserve">Material Acquisition &amp; Pre-processing (Scope 3, Category 1: Purchased Goods and Services)</w:t>
      </w:r>
    </w:p>
    <w:p>
      <w:pPr>
        <w:pStyle w:val="FirstParagraph"/>
      </w:pPr>
      <w:r>
        <w:t xml:space="preserve">This stage accounts for the emissions generated during the extraction, processing, and manufacturing of raw materials and components used in hqgrqoutjp. The provided Detailed Bill of Materials (BOM) irdxuzwh is critical for high-accuracy material impact calculation, replacing default estimates with specific values.</w:t>
      </w:r>
    </w:p>
    <w:bookmarkStart w:id="25" w:name="detailed-bill-of-materials-bom-data"/>
    <w:p>
      <w:pPr>
        <w:pStyle w:val="Heading4"/>
      </w:pPr>
      <w:r>
        <w:t xml:space="preserve">Detailed Bill of Materials (BOM) Data:</w:t>
      </w:r>
    </w:p>
    <w:p>
      <w:pPr>
        <w:pStyle w:val="FirstParagraph"/>
      </w:pPr>
      <w:r>
        <w:t xml:space="preserve">The following table presents the parsed BOM data (from `irdxuzwh`) used for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2.0</w:t>
            </w:r>
          </w:p>
        </w:tc>
        <w:tc>
          <w:tcPr/>
          <w:p>
            <w:pPr>
              <w:pStyle w:val="Compact"/>
              <w:jc w:val="left"/>
            </w:pPr>
            <w:r>
              <w:t xml:space="preserve">200.0</w:t>
            </w:r>
          </w:p>
        </w:tc>
      </w:tr>
      <w:tr>
        <w:tc>
          <w:tcPr/>
          <w:p>
            <w:pPr>
              <w:pStyle w:val="Compact"/>
              <w:jc w:val="left"/>
            </w:pPr>
            <w:r>
              <w:t xml:space="preserve">MAT002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3.5</w:t>
            </w:r>
          </w:p>
        </w:tc>
        <w:tc>
          <w:tcPr/>
          <w:p>
            <w:pPr>
              <w:pStyle w:val="Compact"/>
              <w:jc w:val="left"/>
            </w:pPr>
            <w:r>
              <w:t xml:space="preserve">175.0</w:t>
            </w:r>
          </w:p>
        </w:tc>
      </w:tr>
      <w:tr>
        <w:tc>
          <w:tcPr/>
          <w:p>
            <w:pPr>
              <w:pStyle w:val="Compact"/>
              <w:jc w:val="left"/>
            </w:pPr>
            <w:r>
              <w:t xml:space="preserve">MAT003</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20</w:t>
            </w:r>
          </w:p>
        </w:tc>
        <w:tc>
          <w:tcPr/>
          <w:p>
            <w:pPr>
              <w:pStyle w:val="Compact"/>
              <w:jc w:val="left"/>
            </w:pPr>
            <w:r>
              <w:t xml:space="preserve">5.0</w:t>
            </w:r>
          </w:p>
        </w:tc>
        <w:tc>
          <w:tcPr/>
          <w:p>
            <w:pPr>
              <w:pStyle w:val="Compact"/>
              <w:jc w:val="left"/>
            </w:pPr>
            <w:r>
              <w:t xml:space="preserve">100.0</w:t>
            </w:r>
          </w:p>
        </w:tc>
      </w:tr>
    </w:tbl>
    <w:p>
      <w:pPr>
        <w:pStyle w:val="BodyText"/>
      </w:pPr>
      <w:r>
        <w:t xml:space="preserve">The "Total Carbon" values from the BOM are directly used to calculate material impacts as requested, ensuring high accuracy.</w:t>
      </w:r>
    </w:p>
    <w:bookmarkEnd w:id="25"/>
    <w:bookmarkEnd w:id="26"/>
    <w:bookmarkStart w:id="28" w:name="X7cd6c4ad822be9527312ea6d1299e8b2afe97ff"/>
    <w:p>
      <w:pPr>
        <w:pStyle w:val="Heading3"/>
      </w:pPr>
      <w:r>
        <w:t xml:space="preserve">Manufacturing (Scope 2: Purchased Electricity)</w:t>
      </w:r>
    </w:p>
    <w:p>
      <w:pPr>
        <w:pStyle w:val="FirstParagraph"/>
      </w:pPr>
      <w:r>
        <w:t xml:space="preserve">This stage includes the emissions from energy consumption during the assembly and production of hqgrqoutjp at the manufacturing facility in China.</w:t>
      </w:r>
    </w:p>
    <w:bookmarkStart w:id="27" w:name="energy-customization-data"/>
    <w:p>
      <w:pPr>
        <w:pStyle w:val="Heading4"/>
      </w:pPr>
      <w:r>
        <w:t xml:space="preserve">Energy Customization Data:</w:t>
      </w:r>
    </w:p>
    <w:p>
      <w:pPr>
        <w:numPr>
          <w:ilvl w:val="0"/>
          <w:numId w:val="1003"/>
        </w:numPr>
        <w:pStyle w:val="Compact"/>
      </w:pPr>
      <w:r>
        <w:rPr>
          <w:bCs/>
          <w:b/>
        </w:rPr>
        <w:t xml:space="preserve">Energy Intensity (kWh/unit):</w:t>
      </w:r>
      <w:r>
        <w:t xml:space="preserve"> </w:t>
      </w:r>
      <w:r>
        <w:t xml:space="preserve">vqnnjsmkxs (Assumed: 15 kWh/unit)</w:t>
      </w:r>
    </w:p>
    <w:p>
      <w:pPr>
        <w:numPr>
          <w:ilvl w:val="0"/>
          <w:numId w:val="1003"/>
        </w:numPr>
        <w:pStyle w:val="Compact"/>
      </w:pPr>
      <w:r>
        <w:rPr>
          <w:bCs/>
          <w:b/>
        </w:rPr>
        <w:t xml:space="preserve">Renewable Energy Usage:</w:t>
      </w:r>
      <w:r>
        <w:t xml:space="preserve"> </w:t>
      </w:r>
      <w:r>
        <w:t xml:space="preserve">ziehpgsfur (Assumed: 70%)</w:t>
      </w:r>
    </w:p>
    <w:bookmarkEnd w:id="27"/>
    <w:bookmarkEnd w:id="28"/>
    <w:bookmarkStart w:id="30" w:name="X26b199d03110895c64486797c993b634936b829"/>
    <w:p>
      <w:pPr>
        <w:pStyle w:val="Heading3"/>
      </w:pPr>
      <w:r>
        <w:t xml:space="preserve">Transport (Scope 3, Category 4: Upstream Transportation and Distribution)</w:t>
      </w:r>
    </w:p>
    <w:p>
      <w:pPr>
        <w:pStyle w:val="FirstParagraph"/>
      </w:pPr>
      <w:r>
        <w:t xml:space="preserve">This covers the emissions from transporting raw materials and components to the manufacturing facility and, for a full PCF, the transport of the finished product to the distribution centers or end-users.</w:t>
      </w:r>
    </w:p>
    <w:bookmarkStart w:id="29"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(Assumed: Truck)</w:t>
      </w:r>
    </w:p>
    <w:p>
      <w:pPr>
        <w:numPr>
          <w:ilvl w:val="0"/>
          <w:numId w:val="1004"/>
        </w:numPr>
        <w:pStyle w:val="Compact"/>
      </w:pPr>
      <w:r>
        <w:rPr>
          <w:bCs/>
          <w:b/>
        </w:rPr>
        <w:t xml:space="preserve">Transport Distance:</w:t>
      </w:r>
      <w:r>
        <w:t xml:space="preserve"> </w:t>
      </w:r>
      <w:r>
        <w:t xml:space="preserve">qfzpmthilz (Assumed: 500 km)</w:t>
      </w:r>
    </w:p>
    <w:p>
      <w:pPr>
        <w:numPr>
          <w:ilvl w:val="0"/>
          <w:numId w:val="1004"/>
        </w:numPr>
        <w:pStyle w:val="Compact"/>
      </w:pPr>
      <w:r>
        <w:rPr>
          <w:bCs/>
          <w:b/>
        </w:rPr>
        <w:t xml:space="preserve">Last-Mile Delivery Channel:</w:t>
      </w:r>
      <w:r>
        <w:t xml:space="preserve"> </w:t>
      </w:r>
      <w:r>
        <w:t xml:space="preserve">Delivery Type (Assumed: Parcel Service)</w:t>
      </w:r>
    </w:p>
    <w:bookmarkEnd w:id="29"/>
    <w:bookmarkEnd w:id="30"/>
    <w:bookmarkStart w:id="32" w:name="Xc8d47610e025d3b1fe367d676386ecee874efa3"/>
    <w:p>
      <w:pPr>
        <w:pStyle w:val="Heading3"/>
      </w:pPr>
      <w:r>
        <w:t xml:space="preserve">Use Phase (Scope 3, Category 11: Use of Sold Products)</w:t>
      </w:r>
    </w:p>
    <w:p>
      <w:pPr>
        <w:pStyle w:val="FirstParagraph"/>
      </w:pPr>
      <w:r>
        <w:t xml:space="preserve">Emissions generated during the consumer use of hqgrqoutjp are accounted for here, especially if the product consumes energy during its lifespan.</w:t>
      </w:r>
    </w:p>
    <w:bookmarkStart w:id="31" w:name="durability-and-consumption-data"/>
    <w:p>
      <w:pPr>
        <w:pStyle w:val="Heading4"/>
      </w:pPr>
      <w:r>
        <w:t xml:space="preserve">Durability and Consumption Data:</w:t>
      </w:r>
    </w:p>
    <w:p>
      <w:pPr>
        <w:numPr>
          <w:ilvl w:val="0"/>
          <w:numId w:val="1005"/>
        </w:numPr>
        <w:pStyle w:val="Compact"/>
      </w:pPr>
      <w:r>
        <w:rPr>
          <w:bCs/>
          <w:b/>
        </w:rPr>
        <w:t xml:space="preserve">Product Lifespan:</w:t>
      </w:r>
      <w:r>
        <w:t xml:space="preserve"> </w:t>
      </w:r>
      <w:r>
        <w:t xml:space="preserve">zssulfngdg (Assumed: 5 years)</w:t>
      </w:r>
    </w:p>
    <w:p>
      <w:pPr>
        <w:numPr>
          <w:ilvl w:val="0"/>
          <w:numId w:val="1005"/>
        </w:numPr>
        <w:pStyle w:val="Compact"/>
      </w:pPr>
      <w:r>
        <w:rPr>
          <w:bCs/>
          <w:b/>
        </w:rPr>
        <w:t xml:space="preserve">Energy Consumption in Use:</w:t>
      </w:r>
      <w:r>
        <w:t xml:space="preserve"> </w:t>
      </w:r>
      <w:r>
        <w:t xml:space="preserve">niiekgmeve (Assumed: 10 kWh/year)</w:t>
      </w:r>
    </w:p>
    <w:bookmarkEnd w:id="31"/>
    <w:bookmarkEnd w:id="32"/>
    <w:bookmarkStart w:id="34" w:name="X9982929b618de862c11111658ccce8db3e98553"/>
    <w:p>
      <w:pPr>
        <w:pStyle w:val="Heading3"/>
      </w:pPr>
      <w:r>
        <w:t xml:space="preserve">End-of-Life (EoL) (Scope 3, Category 12: End-of-Life Treatment of Sold Products)</w:t>
      </w:r>
    </w:p>
    <w:p>
      <w:pPr>
        <w:pStyle w:val="FirstParagraph"/>
      </w:pPr>
      <w:r>
        <w:t xml:space="preserve">This stage addresses emissions associated with the disposal or recycling of hqgrqoutjp and its components at the end of its useful life.</w:t>
      </w:r>
    </w:p>
    <w:bookmarkStart w:id="33" w:name="eol-scenarios-data"/>
    <w:p>
      <w:pPr>
        <w:pStyle w:val="Heading4"/>
      </w:pPr>
      <w:r>
        <w:t xml:space="preserve">EoL Scenarios Data:</w:t>
      </w:r>
    </w:p>
    <w:p>
      <w:pPr>
        <w:numPr>
          <w:ilvl w:val="0"/>
          <w:numId w:val="1006"/>
        </w:numPr>
        <w:pStyle w:val="Compact"/>
      </w:pPr>
      <w:r>
        <w:rPr>
          <w:bCs/>
          <w:b/>
        </w:rPr>
        <w:t xml:space="preserve">Recyclability Percentage:</w:t>
      </w:r>
      <w:r>
        <w:t xml:space="preserve"> </w:t>
      </w:r>
      <w:r>
        <w:t xml:space="preserve">flvulenfzr (Assumed: 80%)</w:t>
      </w:r>
    </w:p>
    <w:p>
      <w:pPr>
        <w:numPr>
          <w:ilvl w:val="0"/>
          <w:numId w:val="1006"/>
        </w:numPr>
        <w:pStyle w:val="Compact"/>
      </w:pPr>
      <w:r>
        <w:rPr>
          <w:bCs/>
          <w:b/>
        </w:rPr>
        <w:t xml:space="preserve">Circular/Take-back Programs:</w:t>
      </w:r>
      <w:r>
        <w:t xml:space="preserve"> </w:t>
      </w:r>
      <w:r>
        <w:t xml:space="preserve">frrgloykhd (Assumed: Yes, a return scheme is in place)</w:t>
      </w:r>
    </w:p>
    <w:p>
      <w:r>
        <w:pict>
          <v:rect style="width:0;height:1.5pt" o:hralign="center" o:hrstd="t" o:hr="t"/>
        </w:pict>
      </w:r>
    </w:p>
    <w:bookmarkEnd w:id="33"/>
    <w:bookmarkEnd w:id="34"/>
    <w:bookmarkEnd w:id="35"/>
    <w:bookmarkStart w:id="44"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for each lifecycle stage, categorizing them according to the GHG Protocol\'s scopes. Industry-standard emission factors (e.g., from Ecoinvent/DEFRA) are utilized where primary data is not available, with assumptions clearly stated.</w:t>
      </w:r>
    </w:p>
    <w:bookmarkStart w:id="36" w:name="Xda99f4bb75c44732658902398d7feb6b875013d"/>
    <w:p>
      <w:pPr>
        <w:pStyle w:val="Heading3"/>
      </w:pPr>
      <w:r>
        <w:t xml:space="preserve">Emission Factors Used (Illustrative &amp; Assumed for Calculation):</w:t>
      </w:r>
    </w:p>
    <w:p>
      <w:pPr>
        <w:numPr>
          <w:ilvl w:val="0"/>
          <w:numId w:val="1007"/>
        </w:numPr>
        <w:pStyle w:val="Compact"/>
      </w:pPr>
      <w:r>
        <w:rPr>
          <w:bCs/>
          <w:b/>
        </w:rPr>
        <w:t xml:space="preserve">Truck Transport:</w:t>
      </w:r>
      <w:r>
        <w:t xml:space="preserve"> </w:t>
      </w:r>
      <w:r>
        <w:t xml:space="preserve">0.105 kg CO2e/tonne-km (This is a general factor for road freight. More specific DEFRA or Ecoinvent factors would be used for detailed analysis depending on vehicle type and load.)</w:t>
      </w:r>
    </w:p>
    <w:p>
      <w:pPr>
        <w:numPr>
          <w:ilvl w:val="0"/>
          <w:numId w:val="1007"/>
        </w:numPr>
        <w:pStyle w:val="Compact"/>
      </w:pPr>
      <w:r>
        <w:rPr>
          <w:bCs/>
          <w:b/>
        </w:rPr>
        <w:t xml:space="preserve">Parcel Service (Last-Mile):</w:t>
      </w:r>
      <w:r>
        <w:t xml:space="preserve"> </w:t>
      </w:r>
      <w:r>
        <w:t xml:space="preserve">0.5 kg CO2e/package (Assumed for a typical parcel delivery, acknowledging variations based on distance and package size. Industry averages can range from 0.23 kg CO2e for last-mile pickup and delivery up to 1.19 kg CO2e/package for average delivery.)</w:t>
      </w:r>
    </w:p>
    <w:p>
      <w:pPr>
        <w:numPr>
          <w:ilvl w:val="0"/>
          <w:numId w:val="1007"/>
        </w:numPr>
        <w:pStyle w:val="Compact"/>
      </w:pPr>
      <w:r>
        <w:rPr>
          <w:bCs/>
          <w:b/>
        </w:rPr>
        <w:t xml:space="preserve">Grid Electricity (China):</w:t>
      </w:r>
      <w:r>
        <w:t xml:space="preserve"> </w:t>
      </w:r>
      <w:r>
        <w:t xml:space="preserve">0.6 kg CO2e/kWh (Approximate national average for China, noting provincial variations. Official values vary, e.g., 0.6093 kg CO2/kWh by IEA in 2021, 0.5568 kg CO2/kWh by MEE in 2021, and 0.6205 kg CO2e/kWh national average in 2023.)</w:t>
      </w:r>
    </w:p>
    <w:p>
      <w:pPr>
        <w:numPr>
          <w:ilvl w:val="0"/>
          <w:numId w:val="1007"/>
        </w:numPr>
        <w:pStyle w:val="Compact"/>
      </w:pPr>
      <w:r>
        <w:rPr>
          <w:bCs/>
          <w:b/>
        </w:rPr>
        <w:t xml:space="preserve">Renewable Electricity:</w:t>
      </w:r>
      <w:r>
        <w:t xml:space="preserve"> </w:t>
      </w:r>
      <w:r>
        <w:t xml:space="preserve">0.02 kg CO2e/kWh (Assumed for residual emissions, acknowledging that operational emissions for renewable sources are generally very low.)</w:t>
      </w:r>
    </w:p>
    <w:p>
      <w:pPr>
        <w:numPr>
          <w:ilvl w:val="0"/>
          <w:numId w:val="1007"/>
        </w:numPr>
        <w:pStyle w:val="Compact"/>
      </w:pPr>
      <w:r>
        <w:rPr>
          <w:bCs/>
          <w:b/>
        </w:rPr>
        <w:t xml:space="preserve">End-of-Life Disposal (Landfill/Incineration):</w:t>
      </w:r>
      <w:r>
        <w:t xml:space="preserve"> </w:t>
      </w:r>
      <w:r>
        <w:t xml:space="preserve">1.0 kg CO2e/kg (Assumed for a mixed waste stream. Specific factors vary by material and disposal method.)</w:t>
      </w:r>
    </w:p>
    <w:p>
      <w:pPr>
        <w:numPr>
          <w:ilvl w:val="0"/>
          <w:numId w:val="1007"/>
        </w:numPr>
        <w:pStyle w:val="Compact"/>
      </w:pPr>
      <w:r>
        <w:rPr>
          <w:bCs/>
          <w:b/>
        </w:rPr>
        <w:t xml:space="preserve">End-of-Life Recycling Credit (Avoided Emissions):</w:t>
      </w:r>
      <w:r>
        <w:t xml:space="preserve"> </w:t>
      </w:r>
      <w:r>
        <w:t xml:space="preserve">-1.5 kg CO2e/kg (Simplified average for avoided virgin material production. GHG Protocol advises reporting these separately.)</w:t>
      </w:r>
    </w:p>
    <w:bookmarkEnd w:id="36"/>
    <w:bookmarkStart w:id="42" w:name="calculation-breakdown"/>
    <w:p>
      <w:pPr>
        <w:pStyle w:val="Heading3"/>
      </w:pPr>
      <w:r>
        <w:t xml:space="preserve">Calculation Breakdown:</w:t>
      </w:r>
    </w:p>
    <w:bookmarkStart w:id="37" w:name="X4680f8afc8240cbfeeb10b5c91f6293ef30cb5f"/>
    <w:p>
      <w:pPr>
        <w:pStyle w:val="Heading4"/>
      </w:pPr>
      <w:r>
        <w:t xml:space="preserve">1. Materials Acquisition &amp; Pre-processing (Scope 3, Category 1)</w:t>
      </w:r>
    </w:p>
    <w:p>
      <w:pPr>
        <w:pStyle w:val="FirstParagraph"/>
      </w:pPr>
      <w:r>
        <w:t xml:space="preserve">Calculations based on provided BOM data:</w:t>
      </w:r>
    </w:p>
    <w:p>
      <w:pPr>
        <w:numPr>
          <w:ilvl w:val="0"/>
          <w:numId w:val="1008"/>
        </w:numPr>
        <w:pStyle w:val="Compact"/>
      </w:pPr>
      <w:r>
        <w:t xml:space="preserve">Steel: 100 kg * 2.0 kg CO2e/kg = 200.0 kg CO2e</w:t>
      </w:r>
    </w:p>
    <w:p>
      <w:pPr>
        <w:numPr>
          <w:ilvl w:val="0"/>
          <w:numId w:val="1008"/>
        </w:numPr>
        <w:pStyle w:val="Compact"/>
      </w:pPr>
      <w:r>
        <w:t xml:space="preserve">Plastic: 50 kg * 3.5 kg CO2e/kg = 175.0 kg CO2e</w:t>
      </w:r>
    </w:p>
    <w:p>
      <w:pPr>
        <w:numPr>
          <w:ilvl w:val="0"/>
          <w:numId w:val="1008"/>
        </w:numPr>
        <w:pStyle w:val="Compact"/>
      </w:pPr>
      <w:r>
        <w:t xml:space="preserve">Aluminum: 20 kg * 5.0 kg CO2e/kg = 100.0 kg CO2e</w:t>
      </w:r>
    </w:p>
    <w:p>
      <w:pPr>
        <w:pStyle w:val="FirstParagraph"/>
      </w:pPr>
      <w:r>
        <w:rPr>
          <w:bCs/>
          <w:b/>
        </w:rPr>
        <w:t xml:space="preserve">Total Material Emissions: 475.0 kg CO2e</w:t>
      </w:r>
    </w:p>
    <w:bookmarkEnd w:id="37"/>
    <w:bookmarkStart w:id="38" w:name="X7badbee117c2e2be91c5c7460aa94b55146a2c3"/>
    <w:p>
      <w:pPr>
        <w:pStyle w:val="Heading4"/>
      </w:pPr>
      <w:r>
        <w:t xml:space="preserve">2. Manufacturing (Production Phase Energy) (Scope 2)</w:t>
      </w:r>
    </w:p>
    <w:p>
      <w:pPr>
        <w:numPr>
          <w:ilvl w:val="0"/>
          <w:numId w:val="1009"/>
        </w:numPr>
        <w:pStyle w:val="Compact"/>
      </w:pPr>
      <w:r>
        <w:t xml:space="preserve">Total Energy Needed: 15 kWh/unit</w:t>
      </w:r>
    </w:p>
    <w:p>
      <w:pPr>
        <w:numPr>
          <w:ilvl w:val="0"/>
          <w:numId w:val="1009"/>
        </w:numPr>
        <w:pStyle w:val="Compact"/>
      </w:pPr>
      <w:r>
        <w:t xml:space="preserve">Renewable Energy Usage: 70%</w:t>
      </w:r>
    </w:p>
    <w:p>
      <w:pPr>
        <w:numPr>
          <w:ilvl w:val="0"/>
          <w:numId w:val="1009"/>
        </w:numPr>
        <w:pStyle w:val="Compact"/>
      </w:pPr>
      <w:r>
        <w:t xml:space="preserve">Grid Electricity Usage: 30%</w:t>
      </w:r>
    </w:p>
    <w:p>
      <w:pPr>
        <w:numPr>
          <w:ilvl w:val="0"/>
          <w:numId w:val="1009"/>
        </w:numPr>
        <w:pStyle w:val="Compact"/>
      </w:pPr>
      <w:r>
        <w:t xml:space="preserve">Renewable Energy Consumption: 15 kWh * 0.70 = 10.5 kWh</w:t>
      </w:r>
    </w:p>
    <w:p>
      <w:pPr>
        <w:numPr>
          <w:ilvl w:val="0"/>
          <w:numId w:val="1009"/>
        </w:numPr>
        <w:pStyle w:val="Compact"/>
      </w:pPr>
      <w:r>
        <w:t xml:space="preserve">Grid Electricity Consumption: 15 kWh * 0.30 = 4.5 kWh</w:t>
      </w:r>
    </w:p>
    <w:p>
      <w:pPr>
        <w:numPr>
          <w:ilvl w:val="0"/>
          <w:numId w:val="1009"/>
        </w:numPr>
        <w:pStyle w:val="Compact"/>
      </w:pPr>
      <w:r>
        <w:t xml:space="preserve">Emissions from Renewable Energy: 10.5 kWh * 0.02 kg CO2e/kWh = 0.21 kg CO2e</w:t>
      </w:r>
    </w:p>
    <w:p>
      <w:pPr>
        <w:numPr>
          <w:ilvl w:val="0"/>
          <w:numId w:val="1009"/>
        </w:numPr>
        <w:pStyle w:val="Compact"/>
      </w:pPr>
      <w:r>
        <w:t xml:space="preserve">Emissions from Grid Electricity (China): 4.5 kWh * 0.6 kg CO2e/kWh = 2.70 kg CO2e</w:t>
      </w:r>
    </w:p>
    <w:p>
      <w:pPr>
        <w:pStyle w:val="FirstParagraph"/>
      </w:pPr>
      <w:r>
        <w:rPr>
          <w:bCs/>
          <w:b/>
        </w:rPr>
        <w:t xml:space="preserve">Total Manufacturing Energy Emissions: 2.91 kg CO2e</w:t>
      </w:r>
    </w:p>
    <w:bookmarkEnd w:id="38"/>
    <w:bookmarkStart w:id="39" w:name="transport-scope-3-category-4"/>
    <w:p>
      <w:pPr>
        <w:pStyle w:val="Heading4"/>
      </w:pPr>
      <w:r>
        <w:t xml:space="preserve">3. Transport (Scope 3, Category 4)</w:t>
      </w:r>
    </w:p>
    <w:p>
      <w:pPr>
        <w:pStyle w:val="FirstParagraph"/>
      </w:pPr>
      <w:r>
        <w:t xml:space="preserve">Product mass (sum of BOM quantities): 100 kg (Steel) + 50 kg (Plastic) + 20 kg (Aluminum) = 170 kg</w:t>
      </w:r>
    </w:p>
    <w:p>
      <w:pPr>
        <w:numPr>
          <w:ilvl w:val="0"/>
          <w:numId w:val="1010"/>
        </w:numPr>
        <w:pStyle w:val="Compact"/>
      </w:pPr>
      <w:r>
        <w:rPr>
          <w:bCs/>
          <w:b/>
        </w:rPr>
        <w:t xml:space="preserve">Upstream Transport (e.g., raw materials to factory):</w:t>
      </w:r>
    </w:p>
    <w:p>
      <w:pPr>
        <w:numPr>
          <w:ilvl w:val="1"/>
          <w:numId w:val="1011"/>
        </w:numPr>
        <w:pStyle w:val="Compact"/>
      </w:pPr>
      <w:r>
        <w:t xml:space="preserve">Mode: Truck</w:t>
      </w:r>
    </w:p>
    <w:p>
      <w:pPr>
        <w:numPr>
          <w:ilvl w:val="1"/>
          <w:numId w:val="1011"/>
        </w:numPr>
        <w:pStyle w:val="Compact"/>
      </w:pPr>
      <w:r>
        <w:t xml:space="preserve">Distance: 500 km</w:t>
      </w:r>
    </w:p>
    <w:p>
      <w:pPr>
        <w:numPr>
          <w:ilvl w:val="1"/>
          <w:numId w:val="1011"/>
        </w:numPr>
        <w:pStyle w:val="Compact"/>
      </w:pPr>
      <w:r>
        <w:t xml:space="preserve">Emissions: (0.105 kg CO2e/tonne-km) * (170 kg / 1000 kg/tonne) * 500 km = 8.925 kg CO2e</w:t>
      </w:r>
    </w:p>
    <w:p>
      <w:pPr>
        <w:numPr>
          <w:ilvl w:val="0"/>
          <w:numId w:val="1010"/>
        </w:numPr>
        <w:pStyle w:val="Compact"/>
      </w:pPr>
      <w:r>
        <w:rPr>
          <w:bCs/>
          <w:b/>
        </w:rPr>
        <w:t xml:space="preserve">Last-Mile Delivery (finished product to consumer):</w:t>
      </w:r>
    </w:p>
    <w:p>
      <w:pPr>
        <w:numPr>
          <w:ilvl w:val="1"/>
          <w:numId w:val="1012"/>
        </w:numPr>
        <w:pStyle w:val="Compact"/>
      </w:pPr>
      <w:r>
        <w:t xml:space="preserve">Channel: Parcel Service</w:t>
      </w:r>
    </w:p>
    <w:p>
      <w:pPr>
        <w:numPr>
          <w:ilvl w:val="1"/>
          <w:numId w:val="1012"/>
        </w:numPr>
        <w:pStyle w:val="Compact"/>
      </w:pPr>
      <w:r>
        <w:t xml:space="preserve">Emissions: 1.0 unit * 0.5 kg CO2e/package = 0.5 kg CO2e</w:t>
      </w:r>
    </w:p>
    <w:p>
      <w:pPr>
        <w:pStyle w:val="FirstParagraph"/>
      </w:pPr>
      <w:r>
        <w:rPr>
          <w:bCs/>
          <w:b/>
        </w:rPr>
        <w:t xml:space="preserve">Total Transport Emissions: 8.925 kg CO2e + 0.5 kg CO2e = 9.425 kg CO2e</w:t>
      </w:r>
    </w:p>
    <w:bookmarkEnd w:id="39"/>
    <w:bookmarkStart w:id="40" w:name="use-phase-scope-3-category-11"/>
    <w:p>
      <w:pPr>
        <w:pStyle w:val="Heading4"/>
      </w:pPr>
      <w:r>
        <w:t xml:space="preserve">4. Use Phase (Scope 3, Category 11)</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over Lifespan: 10 kWh/year * 5 years = 50 kWh</w:t>
      </w:r>
    </w:p>
    <w:p>
      <w:pPr>
        <w:numPr>
          <w:ilvl w:val="0"/>
          <w:numId w:val="1013"/>
        </w:numPr>
        <w:pStyle w:val="Compact"/>
      </w:pPr>
      <w:r>
        <w:t xml:space="preserve">Emissions (assuming China grid electricity for consumer use): 50 kWh * 0.6 kg CO2e/kWh = 30.0 kg CO2e</w:t>
      </w:r>
    </w:p>
    <w:p>
      <w:pPr>
        <w:pStyle w:val="FirstParagraph"/>
      </w:pPr>
      <w:r>
        <w:rPr>
          <w:bCs/>
          <w:b/>
        </w:rPr>
        <w:t xml:space="preserve">Total Use Phase Emissions: 30.0 kg CO2e</w:t>
      </w:r>
    </w:p>
    <w:bookmarkEnd w:id="40"/>
    <w:bookmarkStart w:id="41" w:name="end-of-life-eol-scope-3-category-12"/>
    <w:p>
      <w:pPr>
        <w:pStyle w:val="Heading4"/>
      </w:pPr>
      <w:r>
        <w:t xml:space="preserve">5. End-of-Life (EoL) (Scope 3, Category 12)</w:t>
      </w:r>
    </w:p>
    <w:p>
      <w:pPr>
        <w:numPr>
          <w:ilvl w:val="0"/>
          <w:numId w:val="1014"/>
        </w:numPr>
        <w:pStyle w:val="Compact"/>
      </w:pPr>
      <w:r>
        <w:t xml:space="preserve">Total Product Mass: 170 kg</w:t>
      </w:r>
    </w:p>
    <w:p>
      <w:pPr>
        <w:numPr>
          <w:ilvl w:val="0"/>
          <w:numId w:val="1014"/>
        </w:numPr>
        <w:pStyle w:val="Compact"/>
      </w:pPr>
      <w:r>
        <w:t xml:space="preserve">Recyclability Percentage: 80%</w:t>
      </w:r>
    </w:p>
    <w:p>
      <w:pPr>
        <w:numPr>
          <w:ilvl w:val="0"/>
          <w:numId w:val="1014"/>
        </w:numPr>
        <w:pStyle w:val="Compact"/>
      </w:pPr>
      <w:r>
        <w:t xml:space="preserve">Disposed Portion: 170 kg * (1 - 0.80) = 34 kg</w:t>
      </w:r>
    </w:p>
    <w:p>
      <w:pPr>
        <w:numPr>
          <w:ilvl w:val="0"/>
          <w:numId w:val="1014"/>
        </w:numPr>
        <w:pStyle w:val="Compact"/>
      </w:pPr>
      <w:r>
        <w:t xml:space="preserve">Recycled Portion: 170 kg * 0.80 = 136 kg</w:t>
      </w:r>
    </w:p>
    <w:p>
      <w:pPr>
        <w:numPr>
          <w:ilvl w:val="0"/>
          <w:numId w:val="1014"/>
        </w:numPr>
        <w:pStyle w:val="Compact"/>
      </w:pPr>
      <w:r>
        <w:t xml:space="preserve">Emissions from Disposal: 34 kg * 1.0 kg CO2e/kg = 34.0 kg CO2e</w:t>
      </w:r>
    </w:p>
    <w:p>
      <w:pPr>
        <w:numPr>
          <w:ilvl w:val="0"/>
          <w:numId w:val="1014"/>
        </w:numPr>
        <w:pStyle w:val="Compact"/>
      </w:pPr>
      <w:r>
        <w:t xml:space="preserve">Avoided Emissions (Recycling Credit): 136 kg * -1.5 kg CO2e/kg = -204.0 kg CO2e (Reported separately as per GHG Protocol guidance)</w:t>
      </w:r>
    </w:p>
    <w:p>
      <w:pPr>
        <w:pStyle w:val="FirstParagraph"/>
      </w:pPr>
      <w:r>
        <w:rPr>
          <w:bCs/>
          <w:b/>
        </w:rPr>
        <w:t xml:space="preserve">Total EoL Disposal Emissions: 34.0 kg CO2e</w:t>
      </w:r>
    </w:p>
    <w:p>
      <w:pPr>
        <w:pStyle w:val="BodyText"/>
      </w:pPr>
      <w:r>
        <w:rPr>
          <w:bCs/>
          <w:b/>
        </w:rPr>
        <w:t xml:space="preserve">Avoided Emissions due to Recycling: -204.0 kg CO2e (Reported separately, not deducted from inventory total)</w:t>
      </w:r>
    </w:p>
    <w:bookmarkEnd w:id="41"/>
    <w:bookmarkEnd w:id="42"/>
    <w:bookmarkStart w:id="4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w:t>
            </w:r>
          </w:p>
        </w:tc>
        <w:tc>
          <w:tcPr/>
          <w:p>
            <w:pPr>
              <w:pStyle w:val="Compact"/>
              <w:jc w:val="left"/>
            </w:pPr>
            <w:r>
              <w:t xml:space="preserve">Direct Operations</w:t>
            </w:r>
          </w:p>
        </w:tc>
        <w:tc>
          <w:tcPr/>
          <w:p>
            <w:pPr>
              <w:pStyle w:val="Compact"/>
              <w:jc w:val="left"/>
            </w:pPr>
            <w:r>
              <w:t xml:space="preserve">0.0 (Not quantified for PCF boundary)</w:t>
            </w:r>
          </w:p>
        </w:tc>
      </w:tr>
      <w:tr>
        <w:tc>
          <w:tcPr/>
          <w:p>
            <w:pPr>
              <w:pStyle w:val="Compact"/>
              <w:jc w:val="left"/>
            </w:pPr>
            <w:r>
              <w:t xml:space="preserve">Scope 2</w:t>
            </w:r>
          </w:p>
        </w:tc>
        <w:tc>
          <w:tcPr/>
          <w:p>
            <w:pPr>
              <w:pStyle w:val="Compact"/>
              <w:jc w:val="left"/>
            </w:pPr>
            <w:r>
              <w:t xml:space="preserve">-</w:t>
            </w:r>
          </w:p>
        </w:tc>
        <w:tc>
          <w:tcPr/>
          <w:p>
            <w:pPr>
              <w:pStyle w:val="Compact"/>
              <w:jc w:val="left"/>
            </w:pPr>
            <w:r>
              <w:t xml:space="preserve">Manufacturing (Purchased Electricity)</w:t>
            </w:r>
          </w:p>
        </w:tc>
        <w:tc>
          <w:tcPr/>
          <w:p>
            <w:pPr>
              <w:pStyle w:val="Compact"/>
              <w:jc w:val="left"/>
            </w:pPr>
            <w:r>
              <w:t xml:space="preserve">2.91</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Material Acquisition &amp; Pre-processing</w:t>
            </w:r>
          </w:p>
        </w:tc>
        <w:tc>
          <w:tcPr/>
          <w:p>
            <w:pPr>
              <w:pStyle w:val="Compact"/>
              <w:jc w:val="left"/>
            </w:pPr>
            <w:r>
              <w:t xml:space="preserve">475.0</w:t>
            </w:r>
          </w:p>
        </w:tc>
      </w:tr>
      <w:tr>
        <w:tc>
          <w:tcPr>
            <w:gridSpan w:val="1"/>
            <w:vMerge w:val="continue"/>
          </w:tcPr>
          <w:p>
            <w:pPr/>
          </w:p>
        </w:tc>
        <w:tc>
          <w:tcPr/>
          <w:p>
            <w:pPr>
              <w:pStyle w:val="Compact"/>
              <w:jc w:val="left"/>
            </w:pPr>
            <w:r>
              <w:t xml:space="preserve">Category 4</w:t>
            </w:r>
          </w:p>
        </w:tc>
        <w:tc>
          <w:tcPr/>
          <w:p>
            <w:pPr>
              <w:pStyle w:val="Compact"/>
              <w:jc w:val="left"/>
            </w:pPr>
            <w:r>
              <w:t xml:space="preserve">Transport</w:t>
            </w:r>
          </w:p>
        </w:tc>
        <w:tc>
          <w:tcPr/>
          <w:p>
            <w:pPr>
              <w:pStyle w:val="Compact"/>
              <w:jc w:val="left"/>
            </w:pPr>
            <w:r>
              <w:t xml:space="preserve">9.425</w:t>
            </w:r>
          </w:p>
        </w:tc>
      </w:tr>
      <w:tr>
        <w:tc>
          <w:tcPr>
            <w:gridSpan w:val="1"/>
            <w:vMerge w:val="continue"/>
          </w:tcPr>
          <w:p>
            <w:pPr/>
          </w:p>
        </w:tc>
        <w:tc>
          <w:tcPr/>
          <w:p>
            <w:pPr>
              <w:pStyle w:val="Compact"/>
              <w:jc w:val="left"/>
            </w:pPr>
            <w:r>
              <w:t xml:space="preserve">Category 11</w:t>
            </w:r>
          </w:p>
        </w:tc>
        <w:tc>
          <w:tcPr/>
          <w:p>
            <w:pPr>
              <w:pStyle w:val="Compact"/>
              <w:jc w:val="left"/>
            </w:pPr>
            <w:r>
              <w:t xml:space="preserve">Use Phase</w:t>
            </w:r>
          </w:p>
        </w:tc>
        <w:tc>
          <w:tcPr/>
          <w:p>
            <w:pPr>
              <w:pStyle w:val="Compact"/>
              <w:jc w:val="left"/>
            </w:pPr>
            <w:r>
              <w:t xml:space="preserve">30.0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Disposal</w:t>
            </w:r>
          </w:p>
        </w:tc>
        <w:tc>
          <w:tcPr/>
          <w:p>
            <w:pPr>
              <w:pStyle w:val="Compact"/>
              <w:jc w:val="left"/>
            </w:pPr>
            <w:r>
              <w:t xml:space="preserve">34.0</w:t>
            </w:r>
          </w:p>
        </w:tc>
      </w:tr>
      <w:tr>
        <w:tc>
          <w:tcPr>
            <w:gridSpan w:val="3"/>
          </w:tcPr>
          <w:p>
            <w:pPr>
              <w:pStyle w:val="Compact"/>
              <w:jc w:val="right"/>
            </w:pPr>
            <w:r>
              <w:t xml:space="preserve">TOTAL PRODUCT CARBON FOOTPRINT (excluding avoided emissions)</w:t>
            </w:r>
          </w:p>
        </w:tc>
        <w:tc>
          <w:tcPr/>
          <w:p>
            <w:pPr>
              <w:pStyle w:val="Compact"/>
              <w:jc w:val="left"/>
            </w:pPr>
            <w:r>
              <w:t xml:space="preserve">551.335 kg CO2e per unit of hqgrqoutjp</w:t>
            </w: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hotspots-identification"/>
    <w:p>
      <w:pPr>
        <w:pStyle w:val="Heading3"/>
      </w:pPr>
      <w:r>
        <w:t xml:space="preserve">Hotspots Identification</w:t>
      </w:r>
    </w:p>
    <w:p>
      <w:pPr>
        <w:pStyle w:val="FirstParagraph"/>
      </w:pPr>
      <w:r>
        <w:t xml:space="preserve">Based on the calculations, the primary hotspot for hqgrqoutjp\'s carbon footprint is clearly identified in the</w:t>
      </w:r>
      <w:r>
        <w:t xml:space="preserve"> </w:t>
      </w:r>
      <w:r>
        <w:rPr>
          <w:bCs/>
          <w:b/>
        </w:rPr>
        <w:t xml:space="preserve">Material Acquisition &amp; Pre-processing (Scope 3, Category 1)</w:t>
      </w:r>
      <w:r>
        <w:t xml:space="preserve"> </w:t>
      </w:r>
      <w:r>
        <w:t xml:space="preserve">stage, contributing 475.0 kg CO2e, which represents approximately 86.1% of the total footprint. This highlights the significant impact of raw material selection and their embodied emissions.</w:t>
      </w:r>
    </w:p>
    <w:p>
      <w:pPr>
        <w:numPr>
          <w:ilvl w:val="0"/>
          <w:numId w:val="1015"/>
        </w:numPr>
        <w:pStyle w:val="Compact"/>
      </w:pPr>
      <w:r>
        <w:t xml:space="preserve">Materials (Steel, Plastic, Aluminum) contribute the vast majority of emissions.</w:t>
      </w:r>
    </w:p>
    <w:p>
      <w:pPr>
        <w:numPr>
          <w:ilvl w:val="0"/>
          <w:numId w:val="1015"/>
        </w:numPr>
        <w:pStyle w:val="Compact"/>
      </w:pPr>
      <w:r>
        <w:t xml:space="preserve">The Use Phase (energy consumption by the customer) is the second largest contributor at 30.0 kg CO2e (approx. 5.4%).</w:t>
      </w:r>
    </w:p>
    <w:p>
      <w:pPr>
        <w:numPr>
          <w:ilvl w:val="0"/>
          <w:numId w:val="1015"/>
        </w:numPr>
        <w:pStyle w:val="Compact"/>
      </w:pPr>
      <w:r>
        <w:t xml:space="preserve">End-of-Life disposal and transportation contribute smaller but notable amounts.</w:t>
      </w:r>
    </w:p>
    <w:p>
      <w:pPr>
        <w:numPr>
          <w:ilvl w:val="0"/>
          <w:numId w:val="1015"/>
        </w:numPr>
        <w:pStyle w:val="Compact"/>
      </w:pPr>
      <w:r>
        <w:t xml:space="preserve">Manufacturing energy, even with 70% renewable usage, still contributes due to the grid electricity portion.</w:t>
      </w:r>
    </w:p>
    <w:bookmarkEnd w:id="45"/>
    <w:bookmarkStart w:id="46" w:name="data-reliability-and-assumptions"/>
    <w:p>
      <w:pPr>
        <w:pStyle w:val="Heading3"/>
      </w:pPr>
      <w:r>
        <w:t xml:space="preserve">Data Reliability and Assumptions</w:t>
      </w:r>
    </w:p>
    <w:p>
      <w:pPr>
        <w:pStyle w:val="FirstParagraph"/>
      </w:pPr>
      <w:r>
        <w:t xml:space="preserve">The reliability of this PCF analysis is contingent on the accuracy and completeness of the underlying data. While primary data was used for the Detailed Bill of Materials (BOM) values, several assumptions were made for other lifecycle stages due to the placeholder nature of some parameters:</w:t>
      </w:r>
    </w:p>
    <w:p>
      <w:pPr>
        <w:numPr>
          <w:ilvl w:val="0"/>
          <w:numId w:val="1016"/>
        </w:numPr>
        <w:pStyle w:val="Compact"/>
      </w:pPr>
      <w:r>
        <w:t xml:space="preserve">Generic, yet representative, industry-average emission factors were used for transport, grid electricity, and end-of-life processes. In a real-world scenario, more specific, geographically relevant, and up-to-date emission factors (e.g., from Ecoinvent v3.11/v3.12 or the latest DEFRA factors) would be obtained and applied to enhance accuracy.</w:t>
      </w:r>
    </w:p>
    <w:p>
      <w:pPr>
        <w:numPr>
          <w:ilvl w:val="0"/>
          <w:numId w:val="1016"/>
        </w:numPr>
        <w:pStyle w:val="Compact"/>
      </w:pPr>
      <w:r>
        <w:t xml:space="preserve">The assumed numerical values for transport distance, energy intensity, product lifespan, energy in use, and recyclability percentage would be replaced with actual operational data.</w:t>
      </w:r>
    </w:p>
    <w:p>
      <w:pPr>
        <w:numPr>
          <w:ilvl w:val="0"/>
          <w:numId w:val="1016"/>
        </w:numPr>
        <w:pStyle w:val="Compact"/>
      </w:pPr>
      <w:r>
        <w:t xml:space="preserve">The Land Sector and Removals (LSR) Standard was acknowledged, but detailed calculations were not performed due to the absence of specific land-use or carbon removal data. Future assessments should integrate this for relevant activities.</w:t>
      </w:r>
    </w:p>
    <w:p>
      <w:pPr>
        <w:numPr>
          <w:ilvl w:val="0"/>
          <w:numId w:val="1016"/>
        </w:numPr>
        <w:pStyle w:val="Compact"/>
      </w:pPr>
      <w:r>
        <w:t xml:space="preserve">The 95% Scope 3 coverage target was met by including all relevant categories for a full product lifecycle, with transparent calculation and clear assumptions for each.</w:t>
      </w:r>
    </w:p>
    <w:bookmarkEnd w:id="46"/>
    <w:bookmarkStart w:id="48" w:name="recommendations-for-carbon-reduction"/>
    <w:p>
      <w:pPr>
        <w:pStyle w:val="Heading3"/>
      </w:pPr>
      <w:r>
        <w:t xml:space="preserve">Recommendations for Carbon Reduction</w:t>
      </w:r>
    </w:p>
    <w:p>
      <w:pPr>
        <w:pStyle w:val="FirstParagraph"/>
      </w:pPr>
      <w:r>
        <w:t xml:space="preserve">To significantly reduce the carbon footprint of hqgrqoutjp, uoqjdjygxp should prioritize efforts in the following areas:</w:t>
      </w:r>
    </w:p>
    <w:p>
      <w:pPr>
        <w:numPr>
          <w:ilvl w:val="0"/>
          <w:numId w:val="1017"/>
        </w:numPr>
        <w:pStyle w:val="Compact"/>
      </w:pPr>
      <w:r>
        <w:rPr>
          <w:bCs/>
          <w:b/>
        </w:rPr>
        <w:t xml:space="preserve">Material Decarbonization:</w:t>
      </w:r>
      <w:r>
        <w:t xml:space="preserve"> </w:t>
      </w:r>
      <w:r>
        <w:t xml:space="preserve">Focus on engaging with suppliers to source lower-carbon intensity materials, explore recycled content options, and optimize material efficiency to reduce the overall mass of the product. Investigate alternative materials with inherently lower embodied emissions.</w:t>
      </w:r>
    </w:p>
    <w:p>
      <w:pPr>
        <w:numPr>
          <w:ilvl w:val="0"/>
          <w:numId w:val="1017"/>
        </w:numPr>
        <w:pStyle w:val="Compact"/>
      </w:pPr>
      <w:r>
        <w:rPr>
          <w:bCs/>
          <w:b/>
        </w:rPr>
        <w:t xml:space="preserve">Supply Chain Optimization:</w:t>
      </w:r>
      <w:r>
        <w:t xml:space="preserve"> </w:t>
      </w:r>
      <w:r>
        <w:t xml:space="preserve">Investigate more efficient and lower-emission transport modes for both upstream and downstream logistics, especially for the Europe-focused supply chain. This could include shifting from road to rail or sea freight where feasible, and optimizing loading and routes.</w:t>
      </w:r>
    </w:p>
    <w:p>
      <w:pPr>
        <w:numPr>
          <w:ilvl w:val="0"/>
          <w:numId w:val="1017"/>
        </w:numPr>
        <w:pStyle w:val="Compact"/>
      </w:pPr>
      <w:r>
        <w:rPr>
          <w:bCs/>
          <w:b/>
        </w:rPr>
        <w:t xml:space="preserve">Manufacturing Energy Efficiency &amp; Renewables:</w:t>
      </w:r>
      <w:r>
        <w:t xml:space="preserve"> </w:t>
      </w:r>
      <w:r>
        <w:t xml:space="preserve">Continuously improve energy efficiency in manufacturing operations. While 70% renewable energy usage is commendable, further increasing this percentage or ensuring that the remaining 30% grid electricity is sourced from certified green tariffs can further reduce Scope 2 emissions.</w:t>
      </w:r>
    </w:p>
    <w:p>
      <w:pPr>
        <w:numPr>
          <w:ilvl w:val="0"/>
          <w:numId w:val="1017"/>
        </w:numPr>
        <w:pStyle w:val="Compact"/>
      </w:pPr>
      <w:r>
        <w:rPr>
          <w:bCs/>
          <w:b/>
        </w:rPr>
        <w:t xml:space="preserve">Use Phase Engagement:</w:t>
      </w:r>
      <w:r>
        <w:t xml:space="preserve"> </w:t>
      </w:r>
      <w:r>
        <w:t xml:space="preserve">If feasible, explore design improvements that reduce energy consumption during the product\'s use phase, or provide consumers with guidance on efficient usage and renewable energy options.</w:t>
      </w:r>
    </w:p>
    <w:p>
      <w:pPr>
        <w:numPr>
          <w:ilvl w:val="0"/>
          <w:numId w:val="1017"/>
        </w:numPr>
        <w:pStyle w:val="Compact"/>
      </w:pPr>
      <w:r>
        <w:rPr>
          <w:bCs/>
          <w:b/>
        </w:rPr>
        <w:t xml:space="preserve">Enhance Circularity:</w:t>
      </w:r>
      <w:r>
        <w:t xml:space="preserve"> </w:t>
      </w:r>
      <w:r>
        <w:t xml:space="preserve">Strengthen circular economy initiatives and take-back programs (frrgloykhd) to maximize recyclability (flvulenfzr) and minimize waste. Explore product-as-a-service models or repairability to extend product lifespan. The avoided emissions from recycling are substantial (-204.0 kg CO2e in this case) and represent a significant environmental benefit, which should be reported separately and highlighted.</w:t>
      </w:r>
    </w:p>
    <w:p>
      <w:pPr>
        <w:pStyle w:val="FirstParagraph"/>
      </w:pPr>
      <w:r>
        <w:t xml:space="preserve">This report serves as a foundational assessment. Continuous monitoring, data refinement, and engagement across the value chain will be crucial for effective GHG management and achieving ambitious sustainability goals for hqgrqoutjp.</w:t>
      </w:r>
    </w:p>
    <w:p>
      <w:pPr>
        <w:pStyle w:val="BodyText"/>
      </w:pPr>
      <w:r>
        <w:t xml:space="preserve">Confidential - Internal Use Only | Page</w:t>
      </w:r>
      <w:r>
        <w:t xml:space="preserve"> </w:t>
      </w:r>
      <w:bookmarkStart w:id="47" w:name="page-num"/>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hqgrqoutjp</dc:title>
  <dc:creator/>
  <dc:description>High-detail Product Carbon Footprint (PCF) analysis for hqgrqoutjp, following GHG Protocol standards and 2026 updates, conducted by Senior Sustainability Consultant udigeqnshx for uoqjdjygxp.</dc:description>
  <dc:language>en</dc:language>
  <cp:keywords/>
  <dcterms:created xsi:type="dcterms:W3CDTF">2026-05-30T11:32:06Z</dcterms:created>
  <dcterms:modified xsi:type="dcterms:W3CDTF">2026-05-30T11:32:06Z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