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hoxvqwwhmf</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hoxvqwwhmf</w:t>
      </w:r>
    </w:p>
    <w:p>
      <w:pPr>
        <w:pStyle w:val="BodyText"/>
      </w:pPr>
      <w:r>
        <w:rPr>
          <w:bCs/>
          <w:b/>
        </w:rPr>
        <w:t xml:space="preserve">Company Name:</w:t>
      </w:r>
      <w:r>
        <w:t xml:space="preserve"> </w:t>
      </w:r>
      <w:r>
        <w:t xml:space="preserve">rwrlinsoqj</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vhieoevklk</w:t>
      </w:r>
    </w:p>
    <w:p>
      <w:pPr>
        <w:pStyle w:val="BodyText"/>
      </w:pPr>
      <w:r>
        <w:t xml:space="preserve">This report is generated based on available data and industry standards. While every effort has been made to ensure accuracy, the actual environmental impact may vary based on real-world conditions and data nuances.</w:t>
      </w:r>
    </w:p>
    <w:bookmarkEnd w:id="20"/>
    <w:p>
      <w:r>
        <w:pict>
          <v:rect style="width:0;height:1.5pt" o:hralign="center" o:hrstd="t" o:hr="t"/>
        </w:pict>
      </w:r>
    </w:p>
    <w:bookmarkStart w:id="21" w:name="Xa87d010c1fd868336511b306fbd202996615f12"/>
    <w:p>
      <w:pPr>
        <w:pStyle w:val="Heading1"/>
      </w:pPr>
      <w:r>
        <w:t xml:space="preserve">Product Carbon Footprint Analysis Report</w:t>
      </w:r>
    </w:p>
    <w:p>
      <w:pPr>
        <w:pStyle w:val="FirstParagraph"/>
      </w:pPr>
      <w:r>
        <w:rPr>
          <w:bCs/>
          <w:b/>
        </w:rPr>
        <w:t xml:space="preserve">Product:</w:t>
      </w:r>
      <w:r>
        <w:t xml:space="preserve"> </w:t>
      </w:r>
      <w:r>
        <w:t xml:space="preserve">hoxvqwwhmf</w:t>
      </w:r>
    </w:p>
    <w:p>
      <w:pPr>
        <w:pStyle w:val="BodyText"/>
      </w:pPr>
      <w:r>
        <w:rPr>
          <w:bCs/>
          <w:b/>
        </w:rPr>
        <w:t xml:space="preserve">Company:</w:t>
      </w:r>
      <w:r>
        <w:t xml:space="preserve"> </w:t>
      </w:r>
      <w:r>
        <w:t xml:space="preserve">rwrlinsoqj</w:t>
      </w:r>
    </w:p>
    <w:p>
      <w:pPr>
        <w:pStyle w:val="BodyText"/>
      </w:pPr>
      <w:r>
        <w:rPr>
          <w:bCs/>
          <w:b/>
        </w:rPr>
        <w:t xml:space="preserve">Senior Sustainability Consultant:</w:t>
      </w:r>
      <w:r>
        <w:t xml:space="preserve"> </w:t>
      </w:r>
      <w:r>
        <w:t xml:space="preserve">vhieoevklk</w:t>
      </w:r>
    </w:p>
    <w:p>
      <w:pPr>
        <w:pStyle w:val="BodyText"/>
      </w:pPr>
      <w:r>
        <w:rPr>
          <w:bCs/>
          <w:b/>
        </w:rPr>
        <w:t xml:space="preserve">Generated Date:</w:t>
      </w:r>
      <w:r>
        <w:t xml:space="preserve"> </w:t>
      </w:r>
      <w:r>
        <w:t xml:space="preserve">May 20,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hoxvqwwhmf, manufactured by rwrlinsoqj. The assessment adheres strictly to the Greenhouse Gas (GHG) Protocol, focusing on emissions across the product\'s lifecycle from material acquisition to end-of-life. As a Senior Sustainability Consultant specializing in GHG Protocol, vhieoevklk has conducted this analysis to identify key emission hotspots and provide actionable insights for decarbonization efforts. The analysis incorporates specific company and product data, including a detailed Bill of Materials, transport logistics, energy consumption, and end-of-life scenarios, ensuring a robust and accurate representation of the product\'s environmental impact.</w:t>
      </w:r>
    </w:p>
    <w:p>
      <w:r>
        <w:pict>
          <v:rect style="width:0;height:1.5pt" o:hralign="center" o:hrstd="t" o:hr="t"/>
        </w:pict>
      </w:r>
    </w:p>
    <w:bookmarkEnd w:id="22"/>
    <w:bookmarkStart w:id="23" w:name="defining-the-scope-of-analysis"/>
    <w:p>
      <w:pPr>
        <w:pStyle w:val="Heading2"/>
      </w:pPr>
      <w:r>
        <w:t xml:space="preserve">1. Defining the Scope of Analysis</w:t>
      </w:r>
    </w:p>
    <w:p>
      <w:pPr>
        <w:pStyle w:val="FirstParagraph"/>
      </w:pPr>
      <w:r>
        <w:t xml:space="preserve">The initial phase of the PCF analysis involved clearly defining the parameters and boundaries of the study, in line with the GHG Protocol Product Standard.</w:t>
      </w:r>
    </w:p>
    <w:p>
      <w:pPr>
        <w:numPr>
          <w:ilvl w:val="0"/>
          <w:numId w:val="1001"/>
        </w:numPr>
        <w:pStyle w:val="Compact"/>
      </w:pPr>
      <w:r>
        <w:rPr>
          <w:bCs/>
          <w:b/>
        </w:rPr>
        <w:t xml:space="preserve">Functional Unit:</w:t>
      </w:r>
      <w:r>
        <w:t xml:space="preserve"> </w:t>
      </w:r>
      <w:r>
        <w:t xml:space="preserve">1.0 unit of hoxvqwwhmf. This serves as the reference unit to which all inputs and outputs are related.</w:t>
      </w:r>
    </w:p>
    <w:p>
      <w:pPr>
        <w:numPr>
          <w:ilvl w:val="0"/>
          <w:numId w:val="1001"/>
        </w:numPr>
        <w:pStyle w:val="Compact"/>
      </w:pPr>
      <w:r>
        <w:rPr>
          <w:bCs/>
          <w:b/>
        </w:rPr>
        <w:t xml:space="preserve">System Boundary:</w:t>
      </w:r>
      <w:r>
        <w:t xml:space="preserve"> </w:t>
      </w:r>
      <w:r>
        <w:t xml:space="preserve">factory_gate (cradle-to-gate with selected downstream modules). This boundary encompasses all processes from raw material extraction, through manufacturing and assembly, up to the point the finished product leaves the factory gate. For a comprehensive PCF, selected downstream stages (transport to customer, use phase, and end-of-life) have also been included.</w:t>
      </w:r>
    </w:p>
    <w:p>
      <w:pPr>
        <w:numPr>
          <w:ilvl w:val="0"/>
          <w:numId w:val="1001"/>
        </w:numPr>
        <w:pStyle w:val="Compact"/>
      </w:pPr>
      <w:r>
        <w:rPr>
          <w:bCs/>
          <w:b/>
        </w:rPr>
        <w:t xml:space="preserve">Geographic Scope:</w:t>
      </w:r>
      <w:r>
        <w:t xml:space="preserve"> </w:t>
      </w:r>
      <w:r>
        <w:t xml:space="preserve">Final Production Country: China; Supply Chain Focus: Europe Focused. This dual focus impacts the selection of emission factors for energy consumption during production and for transportation stages.</w:t>
      </w:r>
    </w:p>
    <w:p>
      <w:pPr>
        <w:numPr>
          <w:ilvl w:val="0"/>
          <w:numId w:val="1001"/>
        </w:numPr>
        <w:pStyle w:val="Compact"/>
      </w:pPr>
      <w:r>
        <w:rPr>
          <w:bCs/>
          <w:b/>
        </w:rPr>
        <w:t xml:space="preserve">Accounting Standard:</w:t>
      </w:r>
      <w:r>
        <w:t xml:space="preserve"> </w:t>
      </w:r>
      <w:r>
        <w:t xml:space="preserve">GHG Protocol. Specifically, the GHG Protocol Product Life Cycle Accounting and Reporting Standard and the Corporate Value Chain (Scope 3) Accounting and Reporting Standard have been applied.</w:t>
      </w:r>
    </w:p>
    <w:p>
      <w:pPr>
        <w:numPr>
          <w:ilvl w:val="0"/>
          <w:numId w:val="1001"/>
        </w:numPr>
        <w:pStyle w:val="Compact"/>
      </w:pPr>
      <w:r>
        <w:rPr>
          <w:bCs/>
          <w:b/>
        </w:rPr>
        <w:t xml:space="preserve">Allocation:</w:t>
      </w:r>
      <w:r>
        <w:t xml:space="preserve"> </w:t>
      </w:r>
      <w:r>
        <w:t xml:space="preserve">Emissions are allocated directly to the functional unit based on mass and energy inputs at each lifecycle stage.</w:t>
      </w:r>
    </w:p>
    <w:p>
      <w:r>
        <w:pict>
          <v:rect style="width:0;height:1.5pt" o:hralign="center" o:hrstd="t" o:hr="t"/>
        </w:pict>
      </w:r>
    </w:p>
    <w:bookmarkEnd w:id="23"/>
    <w:bookmarkStart w:id="30" w:name="X6e2793ee4fc01441418c201f3b9b8c363590e6c"/>
    <w:p>
      <w:pPr>
        <w:pStyle w:val="Heading2"/>
      </w:pPr>
      <w:r>
        <w:t xml:space="preserve">2. Mapping the Lifecycle (LCI Inventory Stages) &amp; 3. Data Collection</w:t>
      </w:r>
    </w:p>
    <w:p>
      <w:pPr>
        <w:pStyle w:val="FirstParagraph"/>
      </w:pPr>
      <w:r>
        <w:t xml:space="preserve">This section details the inventory of materials, energy, and transportation inputs across the product\'s lifecycle. Primary data from the Bill of Materials (BOM) and specific company parameters are combined with secondary data from industry-standard emission factor databases (such as Ecoinvent and DEFRA).</w:t>
      </w:r>
    </w:p>
    <w:bookmarkStart w:id="24" w:name="X4f0b16ad4f065ca102d86db58b6fd2dc371e9d7"/>
    <w:p>
      <w:pPr>
        <w:pStyle w:val="Heading3"/>
      </w:pPr>
      <w:r>
        <w:t xml:space="preserve">Detailed Bill of Materials (BOM) for hoxvqwwhmf</w:t>
      </w:r>
    </w:p>
    <w:p>
      <w:pPr>
        <w:pStyle w:val="FirstParagraph"/>
      </w:pPr>
      <w:r>
        <w:t xml:space="preserve">The following table presents the Detailed Bill of Materials (BOM) for hoxvqwwhmf (oghinqfo), including pre-calculated total carbon emissions for each component. These values represent the cradle-to-gate emissions for the respective raw materials and component manufacturing.</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(Illustrative)</w:t>
            </w:r>
          </w:p>
        </w:tc>
        <w:tc>
          <w:tcPr/>
          <w:p>
            <w:pPr>
              <w:pStyle w:val="Compact"/>
              <w:jc w:val="left"/>
            </w:pPr>
            <w:r>
              <w:t xml:space="preserve">Total Carbon (kg CO2e)</w:t>
            </w:r>
          </w:p>
        </w:tc>
      </w:tr>
      <w:tr>
        <w:tc>
          <w:tcPr/>
          <w:p>
            <w:pPr>
              <w:pStyle w:val="Compact"/>
              <w:jc w:val="left"/>
            </w:pPr>
            <w:r>
              <w:t xml:space="preserve">101</w:t>
            </w:r>
          </w:p>
        </w:tc>
        <w:tc>
          <w:tcPr/>
          <w:p>
            <w:pPr>
              <w:pStyle w:val="Compact"/>
              <w:jc w:val="left"/>
            </w:pPr>
            <w:r>
              <w:t xml:space="preserve">Aluminum Frame</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3.0</w:t>
            </w:r>
          </w:p>
        </w:tc>
        <w:tc>
          <w:tcPr/>
          <w:p>
            <w:pPr>
              <w:pStyle w:val="Compact"/>
              <w:jc w:val="left"/>
            </w:pPr>
            <w:r>
              <w:t xml:space="preserve">kg</w:t>
            </w:r>
          </w:p>
        </w:tc>
        <w:tc>
          <w:tcPr/>
          <w:p>
            <w:pPr>
              <w:pStyle w:val="Compact"/>
              <w:jc w:val="left"/>
            </w:pPr>
            <w:r>
              <w:t xml:space="preserve">8.0</w:t>
            </w:r>
          </w:p>
        </w:tc>
        <w:tc>
          <w:tcPr/>
          <w:p>
            <w:pPr>
              <w:pStyle w:val="Compact"/>
              <w:jc w:val="left"/>
            </w:pPr>
            <w:r>
              <w:t xml:space="preserve">24.0</w:t>
            </w:r>
          </w:p>
        </w:tc>
      </w:tr>
      <w:tr>
        <w:tc>
          <w:tcPr/>
          <w:p>
            <w:pPr>
              <w:pStyle w:val="Compact"/>
              <w:jc w:val="left"/>
            </w:pPr>
            <w:r>
              <w:t xml:space="preserve">102</w:t>
            </w:r>
          </w:p>
        </w:tc>
        <w:tc>
          <w:tcPr/>
          <w:p>
            <w:pPr>
              <w:pStyle w:val="Compact"/>
              <w:jc w:val="left"/>
            </w:pPr>
            <w:r>
              <w:t xml:space="preserve">ABS 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2.0</w:t>
            </w:r>
          </w:p>
        </w:tc>
        <w:tc>
          <w:tcPr/>
          <w:p>
            <w:pPr>
              <w:pStyle w:val="Compact"/>
              <w:jc w:val="left"/>
            </w:pPr>
            <w:r>
              <w:t xml:space="preserve">kg</w:t>
            </w:r>
          </w:p>
        </w:tc>
        <w:tc>
          <w:tcPr/>
          <w:p>
            <w:pPr>
              <w:pStyle w:val="Compact"/>
              <w:jc w:val="left"/>
            </w:pPr>
            <w:r>
              <w:t xml:space="preserve">2.5</w:t>
            </w:r>
          </w:p>
        </w:tc>
        <w:tc>
          <w:tcPr/>
          <w:p>
            <w:pPr>
              <w:pStyle w:val="Compact"/>
              <w:jc w:val="left"/>
            </w:pPr>
            <w:r>
              <w:t xml:space="preserve">5.0</w:t>
            </w:r>
          </w:p>
        </w:tc>
      </w:tr>
      <w:tr>
        <w:tc>
          <w:tcPr/>
          <w:p>
            <w:pPr>
              <w:pStyle w:val="Compact"/>
              <w:jc w:val="left"/>
            </w:pPr>
            <w:r>
              <w:t xml:space="preserve">103</w:t>
            </w:r>
          </w:p>
        </w:tc>
        <w:tc>
          <w:tcPr/>
          <w:p>
            <w:pPr>
              <w:pStyle w:val="Compact"/>
              <w:jc w:val="left"/>
            </w:pPr>
            <w:r>
              <w:t xml:space="preserve">Lithium-ion Battery Pack</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1.5</w:t>
            </w:r>
          </w:p>
        </w:tc>
        <w:tc>
          <w:tcPr/>
          <w:p>
            <w:pPr>
              <w:pStyle w:val="Compact"/>
              <w:jc w:val="left"/>
            </w:pPr>
            <w:r>
              <w:t xml:space="preserve">kg</w:t>
            </w:r>
          </w:p>
        </w:tc>
        <w:tc>
          <w:tcPr/>
          <w:p>
            <w:pPr>
              <w:pStyle w:val="Compact"/>
              <w:jc w:val="left"/>
            </w:pPr>
            <w:r>
              <w:t xml:space="preserve">20.0</w:t>
            </w:r>
          </w:p>
        </w:tc>
        <w:tc>
          <w:tcPr/>
          <w:p>
            <w:pPr>
              <w:pStyle w:val="Compact"/>
              <w:jc w:val="left"/>
            </w:pPr>
            <w:r>
              <w:t xml:space="preserve">30.0</w:t>
            </w:r>
          </w:p>
        </w:tc>
      </w:tr>
      <w:tr>
        <w:tc>
          <w:tcPr/>
          <w:p>
            <w:pPr>
              <w:pStyle w:val="Compact"/>
              <w:jc w:val="left"/>
            </w:pPr>
            <w:r>
              <w:t xml:space="preserve">104</w:t>
            </w:r>
          </w:p>
        </w:tc>
        <w:tc>
          <w:tcPr/>
          <w:p>
            <w:pPr>
              <w:pStyle w:val="Compact"/>
              <w:jc w:val="left"/>
            </w:pPr>
            <w:r>
              <w:t xml:space="preserve">Copper Wiring Harness</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4.0</w:t>
            </w:r>
          </w:p>
        </w:tc>
        <w:tc>
          <w:tcPr/>
          <w:p>
            <w:pPr>
              <w:pStyle w:val="Compact"/>
              <w:jc w:val="left"/>
            </w:pPr>
            <w:r>
              <w:t xml:space="preserve">2.0</w:t>
            </w:r>
          </w:p>
        </w:tc>
      </w:tr>
      <w:tr>
        <w:tc>
          <w:tcPr/>
          <w:p>
            <w:pPr>
              <w:pStyle w:val="Compact"/>
              <w:jc w:val="left"/>
            </w:pPr>
            <w:r>
              <w:t xml:space="preserve">105</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50.0</w:t>
            </w:r>
          </w:p>
        </w:tc>
        <w:tc>
          <w:tcPr/>
          <w:p>
            <w:pPr>
              <w:pStyle w:val="Compact"/>
              <w:jc w:val="left"/>
            </w:pPr>
            <w:r>
              <w:t xml:space="preserve">10.0</w:t>
            </w:r>
          </w:p>
        </w:tc>
      </w:tr>
      <w:tr>
        <w:tc>
          <w:tcPr/>
          <w:p>
            <w:pPr>
              <w:pStyle w:val="Compact"/>
              <w:jc w:val="left"/>
            </w:pPr>
            <w:r>
              <w:t xml:space="preserve">106</w:t>
            </w:r>
          </w:p>
        </w:tc>
        <w:tc>
          <w:tcPr/>
          <w:p>
            <w:pPr>
              <w:pStyle w:val="Compact"/>
              <w:jc w:val="left"/>
            </w:pPr>
            <w:r>
              <w:t xml:space="preserve">Glass Display</w:t>
            </w:r>
          </w:p>
        </w:tc>
        <w:tc>
          <w:tcPr/>
          <w:p>
            <w:pPr>
              <w:pStyle w:val="Compact"/>
              <w:jc w:val="left"/>
            </w:pPr>
            <w:r>
              <w:t xml:space="preserve">Glass</w:t>
            </w:r>
          </w:p>
        </w:tc>
        <w:tc>
          <w:tcPr/>
          <w:p>
            <w:pPr>
              <w:pStyle w:val="Compact"/>
              <w:jc w:val="left"/>
            </w:pPr>
            <w:r>
              <w:t xml:space="preserve">Forming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1.5</w:t>
            </w:r>
          </w:p>
        </w:tc>
        <w:tc>
          <w:tcPr/>
          <w:p>
            <w:pPr>
              <w:pStyle w:val="Compact"/>
              <w:jc w:val="left"/>
            </w:pPr>
            <w:r>
              <w:t xml:space="preserve">1.2</w:t>
            </w:r>
          </w:p>
        </w:tc>
      </w:tr>
      <w:tr>
        <w:tc>
          <w:tcPr/>
          <w:p>
            <w:pPr>
              <w:pStyle w:val="Compact"/>
              <w:jc w:val="left"/>
            </w:pPr>
            <w:r>
              <w:t xml:space="preserve">107</w:t>
            </w:r>
          </w:p>
        </w:tc>
        <w:tc>
          <w:tcPr/>
          <w:p>
            <w:pPr>
              <w:pStyle w:val="Compact"/>
              <w:jc w:val="left"/>
            </w:pPr>
            <w:r>
              <w:t xml:space="preserve">Rubber Seals</w:t>
            </w:r>
          </w:p>
        </w:tc>
        <w:tc>
          <w:tcPr/>
          <w:p>
            <w:pPr>
              <w:pStyle w:val="Compact"/>
              <w:jc w:val="left"/>
            </w:pPr>
            <w:r>
              <w:t xml:space="preserve">Rubber</w:t>
            </w:r>
          </w:p>
        </w:tc>
        <w:tc>
          <w:tcPr/>
          <w:p>
            <w:pPr>
              <w:pStyle w:val="Compact"/>
              <w:jc w:val="left"/>
            </w:pPr>
            <w:r>
              <w:t xml:space="preserve">Molding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3.0</w:t>
            </w:r>
          </w:p>
        </w:tc>
        <w:tc>
          <w:tcPr/>
          <w:p>
            <w:pPr>
              <w:pStyle w:val="Compact"/>
              <w:jc w:val="left"/>
            </w:pPr>
            <w:r>
              <w:t xml:space="preserve">0.3</w:t>
            </w:r>
          </w:p>
        </w:tc>
      </w:tr>
      <w:tr>
        <w:tc>
          <w:tcPr/>
          <w:p>
            <w:pPr>
              <w:pStyle w:val="Compact"/>
              <w:jc w:val="left"/>
            </w:pPr>
            <w:r>
              <w:t xml:space="preserve">108</w:t>
            </w:r>
          </w:p>
        </w:tc>
        <w:tc>
          <w:tcPr/>
          <w:p>
            <w:pPr>
              <w:pStyle w:val="Compact"/>
              <w:jc w:val="left"/>
            </w:pPr>
            <w:r>
              <w:t xml:space="preserve">Cardboard Packaging</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0.4</w:t>
            </w:r>
          </w:p>
        </w:tc>
        <w:tc>
          <w:tcPr/>
          <w:p>
            <w:pPr>
              <w:pStyle w:val="Compact"/>
              <w:jc w:val="left"/>
            </w:pPr>
            <w:r>
              <w:t xml:space="preserve">kg</w:t>
            </w:r>
          </w:p>
        </w:tc>
        <w:tc>
          <w:tcPr/>
          <w:p>
            <w:pPr>
              <w:pStyle w:val="Compact"/>
              <w:jc w:val="left"/>
            </w:pPr>
            <w:r>
              <w:t xml:space="preserve">1.0</w:t>
            </w:r>
          </w:p>
        </w:tc>
        <w:tc>
          <w:tcPr/>
          <w:p>
            <w:pPr>
              <w:pStyle w:val="Compact"/>
              <w:jc w:val="left"/>
            </w:pPr>
            <w:r>
              <w:t xml:space="preserve">0.4</w:t>
            </w:r>
          </w:p>
        </w:tc>
      </w:tr>
      <w:tr>
        <w:tc>
          <w:tcPr/>
          <w:p>
            <w:pPr>
              <w:pStyle w:val="Compact"/>
              <w:jc w:val="left"/>
            </w:pPr>
            <w:r>
              <w:t xml:space="preserve">109</w:t>
            </w:r>
          </w:p>
        </w:tc>
        <w:tc>
          <w:tcPr/>
          <w:p>
            <w:pPr>
              <w:pStyle w:val="Compact"/>
              <w:jc w:val="left"/>
            </w:pPr>
            <w:r>
              <w:t xml:space="preserve">Adhesives</w:t>
            </w:r>
          </w:p>
        </w:tc>
        <w:tc>
          <w:tcPr/>
          <w:p>
            <w:pPr>
              <w:pStyle w:val="Compact"/>
              <w:jc w:val="left"/>
            </w:pPr>
            <w:r>
              <w:t xml:space="preserve">Chemicals</w:t>
            </w:r>
          </w:p>
        </w:tc>
        <w:tc>
          <w:tcPr/>
          <w:p>
            <w:pPr>
              <w:pStyle w:val="Compact"/>
              <w:jc w:val="left"/>
            </w:pPr>
            <w:r>
              <w:t xml:space="preserve">Mixing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10.0</w:t>
            </w:r>
          </w:p>
        </w:tc>
        <w:tc>
          <w:tcPr/>
          <w:p>
            <w:pPr>
              <w:pStyle w:val="Compact"/>
              <w:jc w:val="left"/>
            </w:pPr>
            <w:r>
              <w:t xml:space="preserve">0.5</w:t>
            </w:r>
          </w:p>
        </w:tc>
      </w:tr>
      <w:tr>
        <w:tc>
          <w:tcPr/>
          <w:p>
            <w:pPr>
              <w:pStyle w:val="Compact"/>
              <w:jc w:val="left"/>
            </w:pPr>
            <w:r>
              <w:t xml:space="preserve">110</w:t>
            </w:r>
          </w:p>
        </w:tc>
        <w:tc>
          <w:tcPr/>
          <w:p>
            <w:pPr>
              <w:pStyle w:val="Compact"/>
              <w:jc w:val="left"/>
            </w:pPr>
            <w:r>
              <w:t xml:space="preserve">Screws and Fasteners</w:t>
            </w:r>
          </w:p>
        </w:tc>
        <w:tc>
          <w:tcPr/>
          <w:p>
            <w:pPr>
              <w:pStyle w:val="Compact"/>
              <w:jc w:val="left"/>
            </w:pPr>
            <w:r>
              <w:t xml:space="preserve">Metal</w:t>
            </w:r>
          </w:p>
        </w:tc>
        <w:tc>
          <w:tcPr/>
          <w:p>
            <w:pPr>
              <w:pStyle w:val="Compact"/>
              <w:jc w:val="left"/>
            </w:pPr>
            <w:r>
              <w:t xml:space="preserve">Machining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3.0</w:t>
            </w:r>
          </w:p>
        </w:tc>
        <w:tc>
          <w:tcPr/>
          <w:p>
            <w:pPr>
              <w:pStyle w:val="Compact"/>
              <w:jc w:val="left"/>
            </w:pPr>
            <w:r>
              <w:t xml:space="preserve">0.45</w:t>
            </w:r>
          </w:p>
        </w:tc>
      </w:tr>
    </w:tbl>
    <w:p>
      <w:pPr>
        <w:pStyle w:val="BodyText"/>
      </w:pPr>
      <w:r>
        <w:rPr>
          <w:bCs/>
          <w:b/>
        </w:rPr>
        <w:t xml:space="preserve">Total Emissions from Material Acquisition &amp; Pre-processing:</w:t>
      </w:r>
      <w:r>
        <w:t xml:space="preserve"> </w:t>
      </w:r>
      <w:r>
        <w:t xml:space="preserve">73.85 kg CO2e</w:t>
      </w:r>
    </w:p>
    <w:bookmarkEnd w:id="24"/>
    <w:bookmarkStart w:id="25" w:name="production-energy-inputs"/>
    <w:p>
      <w:pPr>
        <w:pStyle w:val="Heading3"/>
      </w:pPr>
      <w:r>
        <w:t xml:space="preserve">Production Energy Inputs</w:t>
      </w:r>
    </w:p>
    <w:p>
      <w:pPr>
        <w:pStyle w:val="FirstParagraph"/>
      </w:pPr>
      <w:r>
        <w:t xml:space="preserve">Energy consumption during the production phase is a significant contributor to the product\'s footprint. The following data was used:</w:t>
      </w:r>
    </w:p>
    <w:p>
      <w:pPr>
        <w:numPr>
          <w:ilvl w:val="0"/>
          <w:numId w:val="1002"/>
        </w:numPr>
        <w:pStyle w:val="Compact"/>
      </w:pPr>
      <w:r>
        <w:rPr>
          <w:bCs/>
          <w:b/>
        </w:rPr>
        <w:t xml:space="preserve">Energy Intensity (kWh/unit):</w:t>
      </w:r>
      <w:r>
        <w:t xml:space="preserve"> </w:t>
      </w:r>
      <w:r>
        <w:t xml:space="preserve">hvmwhumjus = 5.0 kWh/unit</w:t>
      </w:r>
    </w:p>
    <w:p>
      <w:pPr>
        <w:numPr>
          <w:ilvl w:val="0"/>
          <w:numId w:val="1002"/>
        </w:numPr>
        <w:pStyle w:val="Compact"/>
      </w:pPr>
      <w:r>
        <w:rPr>
          <w:bCs/>
          <w:b/>
        </w:rPr>
        <w:t xml:space="preserve">Renewable Energy Usage:</w:t>
      </w:r>
      <w:r>
        <w:t xml:space="preserve"> </w:t>
      </w:r>
      <w:r>
        <w:t xml:space="preserve">edpfwrxyyq = 70%</w:t>
      </w:r>
    </w:p>
    <w:p>
      <w:pPr>
        <w:numPr>
          <w:ilvl w:val="0"/>
          <w:numId w:val="1002"/>
        </w:numPr>
        <w:pStyle w:val="Compact"/>
      </w:pPr>
      <w:r>
        <w:rPr>
          <w:bCs/>
          <w:b/>
        </w:rPr>
        <w:t xml:space="preserve">Non-renewable Electricity Share:</w:t>
      </w:r>
      <w:r>
        <w:t xml:space="preserve"> </w:t>
      </w:r>
      <w:r>
        <w:t xml:space="preserve">30%</w:t>
      </w:r>
    </w:p>
    <w:p>
      <w:pPr>
        <w:numPr>
          <w:ilvl w:val="0"/>
          <w:numId w:val="1002"/>
        </w:numPr>
        <w:pStyle w:val="Compact"/>
      </w:pPr>
      <w:r>
        <w:rPr>
          <w:bCs/>
          <w:b/>
        </w:rPr>
        <w:t xml:space="preserve">Location:</w:t>
      </w:r>
      <w:r>
        <w:t xml:space="preserve"> </w:t>
      </w:r>
      <w:r>
        <w:t xml:space="preserve">China (Final Production Country)</w:t>
      </w:r>
    </w:p>
    <w:bookmarkEnd w:id="25"/>
    <w:bookmarkStart w:id="26" w:name="logistics-data"/>
    <w:p>
      <w:pPr>
        <w:pStyle w:val="Heading3"/>
      </w:pPr>
      <w:r>
        <w:t xml:space="preserve">Logistics Data</w:t>
      </w:r>
    </w:p>
    <w:p>
      <w:pPr>
        <w:pStyle w:val="FirstParagraph"/>
      </w:pPr>
      <w:r>
        <w:t xml:space="preserve">Transportation plays a crucial role in the supply chain emissions. The following specific logistics data was utilized:</w:t>
      </w:r>
    </w:p>
    <w:p>
      <w:pPr>
        <w:numPr>
          <w:ilvl w:val="0"/>
          <w:numId w:val="1003"/>
        </w:numPr>
        <w:pStyle w:val="Compact"/>
      </w:pPr>
      <w:r>
        <w:rPr>
          <w:bCs/>
          <w:b/>
        </w:rPr>
        <w:t xml:space="preserve">Primary Transport Mode:</w:t>
      </w:r>
      <w:r>
        <w:t xml:space="preserve"> </w:t>
      </w:r>
      <w:r>
        <w:t xml:space="preserve">Select Mode (assumed to be Road Freight, Heavy Duty Truck)</w:t>
      </w:r>
    </w:p>
    <w:p>
      <w:pPr>
        <w:numPr>
          <w:ilvl w:val="0"/>
          <w:numId w:val="1003"/>
        </w:numPr>
        <w:pStyle w:val="Compact"/>
      </w:pPr>
      <w:r>
        <w:rPr>
          <w:bCs/>
          <w:b/>
        </w:rPr>
        <w:t xml:space="preserve">Primary Transport Distance (one-way):</w:t>
      </w:r>
      <w:r>
        <w:t xml:space="preserve"> </w:t>
      </w:r>
      <w:r>
        <w:t xml:space="preserve">fggqigzqdd (assumed 1500 km)</w:t>
      </w:r>
    </w:p>
    <w:p>
      <w:pPr>
        <w:numPr>
          <w:ilvl w:val="0"/>
          <w:numId w:val="1003"/>
        </w:numPr>
        <w:pStyle w:val="Compact"/>
      </w:pPr>
      <w:r>
        <w:rPr>
          <w:bCs/>
          <w:b/>
        </w:rPr>
        <w:t xml:space="preserve">Last-Mile Delivery Channel:</w:t>
      </w:r>
      <w:r>
        <w:t xml:space="preserve"> </w:t>
      </w:r>
      <w:r>
        <w:t xml:space="preserve">Delivery Type (assumed to be Light Commercial Van)</w:t>
      </w:r>
    </w:p>
    <w:p>
      <w:pPr>
        <w:numPr>
          <w:ilvl w:val="0"/>
          <w:numId w:val="1003"/>
        </w:numPr>
        <w:pStyle w:val="Compact"/>
      </w:pPr>
      <w:r>
        <w:rPr>
          <w:bCs/>
          <w:b/>
        </w:rPr>
        <w:t xml:space="preserve">Last-Mile Delivery Distance (assumed):</w:t>
      </w:r>
      <w:r>
        <w:t xml:space="preserve"> </w:t>
      </w:r>
      <w:r>
        <w:t xml:space="preserve">50 km</w:t>
      </w:r>
    </w:p>
    <w:p>
      <w:pPr>
        <w:numPr>
          <w:ilvl w:val="0"/>
          <w:numId w:val="1003"/>
        </w:numPr>
        <w:pStyle w:val="Compact"/>
      </w:pPr>
      <w:r>
        <w:rPr>
          <w:bCs/>
          <w:b/>
        </w:rPr>
        <w:t xml:space="preserve">Assumed Product Weight for Transport:</w:t>
      </w:r>
      <w:r>
        <w:t xml:space="preserve"> </w:t>
      </w:r>
      <w:r>
        <w:t xml:space="preserve">10 kg (0.01 tonnes)</w:t>
      </w:r>
    </w:p>
    <w:bookmarkEnd w:id="26"/>
    <w:bookmarkStart w:id="27" w:name="use-phase-data"/>
    <w:p>
      <w:pPr>
        <w:pStyle w:val="Heading3"/>
      </w:pPr>
      <w:r>
        <w:t xml:space="preserve">Use Phase Data</w:t>
      </w:r>
    </w:p>
    <w:p>
      <w:pPr>
        <w:pStyle w:val="FirstParagraph"/>
      </w:pPr>
      <w:r>
        <w:t xml:space="preserve">Emissions during the product\'s use phase are calculated based on its lifespan and energy consumption characteristics:</w:t>
      </w:r>
    </w:p>
    <w:p>
      <w:pPr>
        <w:numPr>
          <w:ilvl w:val="0"/>
          <w:numId w:val="1004"/>
        </w:numPr>
        <w:pStyle w:val="Compact"/>
      </w:pPr>
      <w:r>
        <w:rPr>
          <w:bCs/>
          <w:b/>
        </w:rPr>
        <w:t xml:space="preserve">Product Lifespan:</w:t>
      </w:r>
      <w:r>
        <w:t xml:space="preserve"> </w:t>
      </w:r>
      <w:r>
        <w:t xml:space="preserve">useienponx (assumed 5 years)</w:t>
      </w:r>
    </w:p>
    <w:p>
      <w:pPr>
        <w:numPr>
          <w:ilvl w:val="0"/>
          <w:numId w:val="1004"/>
        </w:numPr>
        <w:pStyle w:val="Compact"/>
      </w:pPr>
      <w:r>
        <w:rPr>
          <w:bCs/>
          <w:b/>
        </w:rPr>
        <w:t xml:space="preserve">Energy Consumption in Use (annual):</w:t>
      </w:r>
      <w:r>
        <w:t xml:space="preserve"> </w:t>
      </w:r>
      <w:r>
        <w:t xml:space="preserve">hgpqmfjrno (assumed 20 kWh/year)</w:t>
      </w:r>
    </w:p>
    <w:p>
      <w:pPr>
        <w:numPr>
          <w:ilvl w:val="0"/>
          <w:numId w:val="1004"/>
        </w:numPr>
        <w:pStyle w:val="Compact"/>
      </w:pPr>
      <w:r>
        <w:rPr>
          <w:bCs/>
          <w:b/>
        </w:rPr>
        <w:t xml:space="preserve">Total Energy Consumption over Lifespan:</w:t>
      </w:r>
      <w:r>
        <w:t xml:space="preserve"> </w:t>
      </w:r>
      <w:r>
        <w:t xml:space="preserve">100 kWh</w:t>
      </w:r>
    </w:p>
    <w:p>
      <w:pPr>
        <w:numPr>
          <w:ilvl w:val="0"/>
          <w:numId w:val="1004"/>
        </w:numPr>
        <w:pStyle w:val="Compact"/>
      </w:pPr>
      <w:r>
        <w:rPr>
          <w:bCs/>
          <w:b/>
        </w:rPr>
        <w:t xml:space="preserve">Assumed Use Location:</w:t>
      </w:r>
      <w:r>
        <w:t xml:space="preserve"> </w:t>
      </w:r>
      <w:r>
        <w:t xml:space="preserve">Europe (given "Europe Focused" supply chain)</w:t>
      </w:r>
    </w:p>
    <w:bookmarkEnd w:id="27"/>
    <w:bookmarkStart w:id="28" w:name="end-of-life-eol-scenarios"/>
    <w:p>
      <w:pPr>
        <w:pStyle w:val="Heading3"/>
      </w:pPr>
      <w:r>
        <w:t xml:space="preserve">End-of-Life (EoL) Scenarios</w:t>
      </w:r>
    </w:p>
    <w:p>
      <w:pPr>
        <w:pStyle w:val="FirstParagraph"/>
      </w:pPr>
      <w:r>
        <w:t xml:space="preserve">The end-of-life treatment of the product impacts its overall footprint, particularly through disposal or recycling efforts:</w:t>
      </w:r>
    </w:p>
    <w:p>
      <w:pPr>
        <w:numPr>
          <w:ilvl w:val="0"/>
          <w:numId w:val="1005"/>
        </w:numPr>
        <w:pStyle w:val="Compact"/>
      </w:pPr>
      <w:r>
        <w:rPr>
          <w:bCs/>
          <w:b/>
        </w:rPr>
        <w:t xml:space="preserve">Recyclability Percentage:</w:t>
      </w:r>
      <w:r>
        <w:t xml:space="preserve"> </w:t>
      </w:r>
      <w:r>
        <w:t xml:space="preserve">smkfjkrdst (assumed 85%)</w:t>
      </w:r>
    </w:p>
    <w:p>
      <w:pPr>
        <w:numPr>
          <w:ilvl w:val="0"/>
          <w:numId w:val="1005"/>
        </w:numPr>
        <w:pStyle w:val="Compact"/>
      </w:pPr>
      <w:r>
        <w:rPr>
          <w:bCs/>
          <w:b/>
        </w:rPr>
        <w:t xml:space="preserve">Circular/Take-back Programs:</w:t>
      </w:r>
      <w:r>
        <w:t xml:space="preserve"> </w:t>
      </w:r>
      <w:r>
        <w:t xml:space="preserve">pnxskunuhx (Qualitatively considered to reduce waste, although specific avoided emissions are not quantified within the strict PCF boundary for this report.)</w:t>
      </w:r>
    </w:p>
    <w:bookmarkEnd w:id="28"/>
    <w:bookmarkStart w:id="29" w:name="Xa10dcec96543c240b98d6bf535a0a67818d601f"/>
    <w:p>
      <w:pPr>
        <w:pStyle w:val="Heading3"/>
      </w:pPr>
      <w:r>
        <w:t xml:space="preserve">Emission Factors Used (Illustrative/Industry Standard)</w:t>
      </w:r>
    </w:p>
    <w:p>
      <w:pPr>
        <w:pStyle w:val="FirstParagraph"/>
      </w:pPr>
      <w:r>
        <w:t xml:space="preserve">To convert activity data into CO2e emissions, industry-standard emission factors were applied, sourced from databases such as Ecoinvent and DEFRA.</w:t>
      </w:r>
    </w:p>
    <w:p>
      <w:pPr>
        <w:numPr>
          <w:ilvl w:val="0"/>
          <w:numId w:val="1006"/>
        </w:numPr>
        <w:pStyle w:val="Compact"/>
      </w:pPr>
      <w:r>
        <w:rPr>
          <w:bCs/>
          <w:b/>
        </w:rPr>
        <w:t xml:space="preserve">Electricity Grid Mix (China):</w:t>
      </w:r>
      <w:r>
        <w:t xml:space="preserve"> </w:t>
      </w:r>
      <w:r>
        <w:t xml:space="preserve">0.65 kg CO2e/kWh (representing the average grid mix in China, adjusted for updates from Ecoinvent 3.10 and IGES).</w:t>
      </w:r>
    </w:p>
    <w:p>
      <w:pPr>
        <w:numPr>
          <w:ilvl w:val="0"/>
          <w:numId w:val="1006"/>
        </w:numPr>
        <w:pStyle w:val="Compact"/>
      </w:pPr>
      <w:r>
        <w:rPr>
          <w:bCs/>
          <w:b/>
        </w:rPr>
        <w:t xml:space="preserve">Electricity Grid Mix (European Average for Use Phase):</w:t>
      </w:r>
      <w:r>
        <w:t xml:space="preserve"> </w:t>
      </w:r>
      <w:r>
        <w:t xml:space="preserve">0.3 kg CO2e/kWh (a representative average for European electricity grids).</w:t>
      </w:r>
    </w:p>
    <w:p>
      <w:pPr>
        <w:numPr>
          <w:ilvl w:val="0"/>
          <w:numId w:val="1006"/>
        </w:numPr>
        <w:pStyle w:val="Compact"/>
      </w:pPr>
      <w:r>
        <w:rPr>
          <w:bCs/>
          <w:b/>
        </w:rPr>
        <w:t xml:space="preserve">Renewable Electricity (Upstream emissions):</w:t>
      </w:r>
      <w:r>
        <w:t xml:space="preserve"> </w:t>
      </w:r>
      <w:r>
        <w:t xml:space="preserve">0.02 kg CO2e/kWh (accounting for life cycle emissions of renewable energy generation).</w:t>
      </w:r>
    </w:p>
    <w:p>
      <w:pPr>
        <w:numPr>
          <w:ilvl w:val="0"/>
          <w:numId w:val="1006"/>
        </w:numPr>
        <w:pStyle w:val="Compact"/>
      </w:pPr>
      <w:r>
        <w:rPr>
          <w:bCs/>
          <w:b/>
        </w:rPr>
        <w:t xml:space="preserve">Road Freight (Heavy Duty Truck):</w:t>
      </w:r>
      <w:r>
        <w:t xml:space="preserve"> </w:t>
      </w:r>
      <w:r>
        <w:t xml:space="preserve">0.09 kg CO2e/tonne-km (based on DEFRA conversion factors for average laden heavy goods vehicles).</w:t>
      </w:r>
    </w:p>
    <w:p>
      <w:pPr>
        <w:numPr>
          <w:ilvl w:val="0"/>
          <w:numId w:val="1006"/>
        </w:numPr>
        <w:pStyle w:val="Compact"/>
      </w:pPr>
      <w:r>
        <w:rPr>
          <w:bCs/>
          <w:b/>
        </w:rPr>
        <w:t xml:space="preserve">Light Commercial Van:</w:t>
      </w:r>
      <w:r>
        <w:t xml:space="preserve"> </w:t>
      </w:r>
      <w:r>
        <w:t xml:space="preserve">0.3 kg CO2e/tonne-km (based on DEFRA conversion factors for light goods freight).</w:t>
      </w:r>
    </w:p>
    <w:p>
      <w:pPr>
        <w:numPr>
          <w:ilvl w:val="0"/>
          <w:numId w:val="1006"/>
        </w:numPr>
        <w:pStyle w:val="Compact"/>
      </w:pPr>
      <w:r>
        <w:rPr>
          <w:bCs/>
          <w:b/>
        </w:rPr>
        <w:t xml:space="preserve">Waste to Landfill (Mixed Waste):</w:t>
      </w:r>
      <w:r>
        <w:t xml:space="preserve"> </w:t>
      </w:r>
      <w:r>
        <w:t xml:space="preserve">0.5 kg CO2e/kg (an average factor for mixed waste disposal).</w:t>
      </w:r>
    </w:p>
    <w:p>
      <w:r>
        <w:pict>
          <v:rect style="width:0;height:1.5pt" o:hralign="center" o:hrstd="t" o:hr="t"/>
        </w:pict>
      </w:r>
    </w:p>
    <w:bookmarkEnd w:id="29"/>
    <w:bookmarkEnd w:id="30"/>
    <w:bookmarkStart w:id="39" w:name="X439a6e6dcb43c636bf515ffaf3f59bce0bd6490"/>
    <w:p>
      <w:pPr>
        <w:pStyle w:val="Heading2"/>
      </w:pPr>
      <w:r>
        <w:t xml:space="preserve">4. Emission Calculation (Activity * Emission Factor = CO2e)</w:t>
      </w:r>
    </w:p>
    <w:p>
      <w:pPr>
        <w:pStyle w:val="FirstParagraph"/>
      </w:pPr>
      <w:r>
        <w:t xml:space="preserve">Emissions are categorized according to the GHG Protocol into Scope 1 (direct emissions), Scope 2 (purchased electricity), and Scope 3 (indirect value chain emissions).</w:t>
      </w:r>
    </w:p>
    <w:bookmarkStart w:id="31" w:name="scope-1-emissions-direct-emissions"/>
    <w:p>
      <w:pPr>
        <w:pStyle w:val="Heading3"/>
      </w:pPr>
      <w:r>
        <w:t xml:space="preserve">Scope 1 Emissions (Direct Emissions)</w:t>
      </w:r>
    </w:p>
    <w:p>
      <w:pPr>
        <w:pStyle w:val="FirstParagraph"/>
      </w:pPr>
      <w:r>
        <w:t xml:space="preserve">For this product carbon footprint analysis, with a system boundary of \'factory_gate\' and no explicit direct fuel combustion data provided for product manufacturing processes, direct Scope 1 emissions from the company\'s owned or controlled sources attributable to the production of hoxvqwwhmf are considered negligible or already embedded within the supplied BOM \'Total Carbon\' values or electricity consumption. Any process emissions not tied to energy (e.g., specific chemical reactions) would typically fall here. Without further data, we assume these are de minimis for this product.</w:t>
      </w:r>
    </w:p>
    <w:p>
      <w:pPr>
        <w:pStyle w:val="BodyText"/>
      </w:pPr>
      <w:r>
        <w:rPr>
          <w:bCs/>
          <w:b/>
        </w:rPr>
        <w:t xml:space="preserve">Total Scope 1 Emissions:</w:t>
      </w:r>
      <w:r>
        <w:t xml:space="preserve"> </w:t>
      </w:r>
      <w:r>
        <w:t xml:space="preserve">0.0 kg CO2e</w:t>
      </w:r>
    </w:p>
    <w:bookmarkEnd w:id="31"/>
    <w:bookmarkStart w:id="32" w:name="scope-2-emissions-purchased-energy"/>
    <w:p>
      <w:pPr>
        <w:pStyle w:val="Heading3"/>
      </w:pPr>
      <w:r>
        <w:t xml:space="preserve">Scope 2 Emissions (Purchased Energy)</w:t>
      </w:r>
    </w:p>
    <w:p>
      <w:pPr>
        <w:pStyle w:val="FirstParagraph"/>
      </w:pPr>
      <w:r>
        <w:t xml:space="preserve">These emissions arise from the generation of purchased electricity consumed during the manufacturing process in China.</w:t>
      </w:r>
    </w:p>
    <w:p>
      <w:pPr>
        <w:numPr>
          <w:ilvl w:val="0"/>
          <w:numId w:val="1007"/>
        </w:numPr>
        <w:pStyle w:val="Compact"/>
      </w:pPr>
      <w:r>
        <w:t xml:space="preserve">Non-renewable Electricity Consumption: 1.5 kWh/unit</w:t>
      </w:r>
    </w:p>
    <w:p>
      <w:pPr>
        <w:numPr>
          <w:ilvl w:val="0"/>
          <w:numId w:val="1007"/>
        </w:numPr>
        <w:pStyle w:val="Compact"/>
      </w:pPr>
      <w:r>
        <w:t xml:space="preserve">China Grid Emission Factor: 0.65 kg CO2e/kWh</w:t>
      </w:r>
    </w:p>
    <w:p>
      <w:pPr>
        <w:numPr>
          <w:ilvl w:val="0"/>
          <w:numId w:val="1007"/>
        </w:numPr>
        <w:pStyle w:val="Compact"/>
      </w:pPr>
      <w:r>
        <w:rPr>
          <w:bCs/>
          <w:b/>
        </w:rPr>
        <w:t xml:space="preserve">Scope 2 Emissions:</w:t>
      </w:r>
      <w:r>
        <w:t xml:space="preserve"> </w:t>
      </w:r>
      <w:r>
        <w:t xml:space="preserve">1.5 kWh/unit * 0.65 kg CO2e/kWh =</w:t>
      </w:r>
      <w:r>
        <w:t xml:space="preserve"> </w:t>
      </w:r>
      <w:r>
        <w:rPr>
          <w:bCs/>
          <w:b/>
        </w:rPr>
        <w:t xml:space="preserve">0.975 kg CO2e</w:t>
      </w:r>
    </w:p>
    <w:bookmarkEnd w:id="32"/>
    <w:bookmarkStart w:id="35" w:name="scope-3-emissions-value-chain-emissions"/>
    <w:p>
      <w:pPr>
        <w:pStyle w:val="Heading3"/>
      </w:pPr>
      <w:r>
        <w:t xml:space="preserve">Scope 3 Emissions (Value Chain Emissions)</w:t>
      </w:r>
    </w:p>
    <w:p>
      <w:pPr>
        <w:pStyle w:val="FirstParagraph"/>
      </w:pPr>
      <w:r>
        <w:t xml:space="preserve">Scope 3 emissions are the most significant portion of a product\'s carbon footprint, covering indirect emissions from upstream and downstream activities in the value chain.</w:t>
      </w:r>
    </w:p>
    <w:bookmarkStart w:id="33" w:name="upstream-scope-3-emissions"/>
    <w:p>
      <w:pPr>
        <w:pStyle w:val="Heading4"/>
      </w:pPr>
      <w:r>
        <w:t xml:space="preserve">Upstream Scope 3 Emissions:</w:t>
      </w:r>
    </w:p>
    <w:p>
      <w:pPr>
        <w:numPr>
          <w:ilvl w:val="0"/>
          <w:numId w:val="1008"/>
        </w:numPr>
        <w:pStyle w:val="Compact"/>
      </w:pPr>
      <w:r>
        <w:rPr>
          <w:bCs/>
          <w:b/>
        </w:rPr>
        <w:t xml:space="preserve">Category 1: Purchased Goods and Services (Material Acquisition &amp; Pre-processing)</w:t>
      </w:r>
    </w:p>
    <w:p>
      <w:pPr>
        <w:numPr>
          <w:ilvl w:val="1"/>
          <w:numId w:val="1009"/>
        </w:numPr>
        <w:pStyle w:val="Compact"/>
      </w:pPr>
      <w:r>
        <w:t xml:space="preserve">Total from Detailed BOM: 73.85 kg CO2e</w:t>
      </w:r>
    </w:p>
    <w:p>
      <w:pPr>
        <w:numPr>
          <w:ilvl w:val="0"/>
          <w:numId w:val="1008"/>
        </w:numPr>
        <w:pStyle w:val="Compact"/>
      </w:pPr>
      <w:r>
        <w:rPr>
          <w:bCs/>
          <w:b/>
        </w:rPr>
        <w:t xml:space="preserve">Category 3: Fuel- and Energy-Related Activities (not included in Scope 1 or 2)</w:t>
      </w:r>
    </w:p>
    <w:p>
      <w:pPr>
        <w:numPr>
          <w:ilvl w:val="1"/>
          <w:numId w:val="1010"/>
        </w:numPr>
        <w:pStyle w:val="Compact"/>
      </w:pPr>
      <w:r>
        <w:t xml:space="preserve">Upstream emissions associated with renewable electricity generation: 3.5 kWh/unit * 0.02 kg CO2e/kWh = 0.07 kg CO2e</w:t>
      </w:r>
    </w:p>
    <w:p>
      <w:pPr>
        <w:numPr>
          <w:ilvl w:val="0"/>
          <w:numId w:val="1008"/>
        </w:numPr>
        <w:pStyle w:val="Compact"/>
      </w:pPr>
      <w:r>
        <w:rPr>
          <w:bCs/>
          <w:b/>
        </w:rPr>
        <w:t xml:space="preserve">Category 4: Upstream Transportation and Distribution (Materials to Factory)</w:t>
      </w:r>
    </w:p>
    <w:p>
      <w:pPr>
        <w:numPr>
          <w:ilvl w:val="1"/>
          <w:numId w:val="1011"/>
        </w:numPr>
        <w:pStyle w:val="Compact"/>
      </w:pPr>
      <w:r>
        <w:t xml:space="preserve">Primary Transport: 1500 km * 0.01 tonnes (product weight assumption) * 0.09 kg CO2e/tonne-km = 1.35 kg CO2e</w:t>
      </w:r>
    </w:p>
    <w:p>
      <w:pPr>
        <w:pStyle w:val="FirstParagraph"/>
      </w:pPr>
      <w:r>
        <w:rPr>
          <w:bCs/>
          <w:b/>
        </w:rPr>
        <w:t xml:space="preserve">Total Upstream Scope 3 Emissions:</w:t>
      </w:r>
      <w:r>
        <w:t xml:space="preserve"> </w:t>
      </w:r>
      <w:r>
        <w:t xml:space="preserve">73.85 + 0.07 + 1.35 =</w:t>
      </w:r>
      <w:r>
        <w:t xml:space="preserve"> </w:t>
      </w:r>
      <w:r>
        <w:rPr>
          <w:bCs/>
          <w:b/>
        </w:rPr>
        <w:t xml:space="preserve">75.27 kg CO2e</w:t>
      </w:r>
    </w:p>
    <w:bookmarkEnd w:id="33"/>
    <w:bookmarkStart w:id="34" w:name="downstream-scope-3-emissions"/>
    <w:p>
      <w:pPr>
        <w:pStyle w:val="Heading4"/>
      </w:pPr>
      <w:r>
        <w:t xml:space="preserve">Downstream Scope 3 Emissions:</w:t>
      </w:r>
    </w:p>
    <w:p>
      <w:pPr>
        <w:numPr>
          <w:ilvl w:val="0"/>
          <w:numId w:val="1012"/>
        </w:numPr>
        <w:pStyle w:val="Compact"/>
      </w:pPr>
      <w:r>
        <w:rPr>
          <w:bCs/>
          <w:b/>
        </w:rPr>
        <w:t xml:space="preserve">Category 9: Downstream Transportation and Distribution (Factory to Customer)</w:t>
      </w:r>
    </w:p>
    <w:p>
      <w:pPr>
        <w:numPr>
          <w:ilvl w:val="1"/>
          <w:numId w:val="1013"/>
        </w:numPr>
        <w:pStyle w:val="Compact"/>
      </w:pPr>
      <w:r>
        <w:t xml:space="preserve">Main Leg (Factory to Distribution Hub): 1500 km * 0.01 tonnes * 0.09 kg CO2e/tonne-km = 1.35 kg CO2e</w:t>
      </w:r>
    </w:p>
    <w:p>
      <w:pPr>
        <w:numPr>
          <w:ilvl w:val="1"/>
          <w:numId w:val="1013"/>
        </w:numPr>
        <w:pStyle w:val="Compact"/>
      </w:pPr>
      <w:r>
        <w:t xml:space="preserve">Last-Mile Delivery: 50 km * 0.01 tonnes * 0.3 kg CO2e/tonne-km = 0.15 kg CO2e</w:t>
      </w:r>
    </w:p>
    <w:p>
      <w:pPr>
        <w:numPr>
          <w:ilvl w:val="1"/>
          <w:numId w:val="1013"/>
        </w:numPr>
        <w:pStyle w:val="Compact"/>
      </w:pPr>
      <w:r>
        <w:t xml:space="preserve">Total Downstream Transport: 1.35 + 0.15 = 1.50 kg CO2e</w:t>
      </w:r>
    </w:p>
    <w:p>
      <w:pPr>
        <w:numPr>
          <w:ilvl w:val="0"/>
          <w:numId w:val="1012"/>
        </w:numPr>
        <w:pStyle w:val="Compact"/>
      </w:pPr>
      <w:r>
        <w:rPr>
          <w:bCs/>
          <w:b/>
        </w:rPr>
        <w:t xml:space="preserve">Category 11: Use of Sold Products</w:t>
      </w:r>
    </w:p>
    <w:p>
      <w:pPr>
        <w:numPr>
          <w:ilvl w:val="1"/>
          <w:numId w:val="1014"/>
        </w:numPr>
        <w:pStyle w:val="Compact"/>
      </w:pPr>
      <w:r>
        <w:t xml:space="preserve">Total Energy Consumption over Lifespan: 100 kWh</w:t>
      </w:r>
    </w:p>
    <w:p>
      <w:pPr>
        <w:numPr>
          <w:ilvl w:val="1"/>
          <w:numId w:val="1014"/>
        </w:numPr>
        <w:pStyle w:val="Compact"/>
      </w:pPr>
      <w:r>
        <w:t xml:space="preserve">European Grid Emission Factor: 0.3 kg CO2e/kWh</w:t>
      </w:r>
    </w:p>
    <w:p>
      <w:pPr>
        <w:numPr>
          <w:ilvl w:val="1"/>
          <w:numId w:val="1014"/>
        </w:numPr>
        <w:pStyle w:val="Compact"/>
      </w:pPr>
      <w:r>
        <w:t xml:space="preserve">Emissions from Use Phase: 100 kWh * 0.3 kg CO2e/kWh = 30.0 kg CO2e</w:t>
      </w:r>
    </w:p>
    <w:p>
      <w:pPr>
        <w:numPr>
          <w:ilvl w:val="0"/>
          <w:numId w:val="1012"/>
        </w:numPr>
        <w:pStyle w:val="Compact"/>
      </w:pPr>
      <w:r>
        <w:rPr>
          <w:bCs/>
          <w:b/>
        </w:rPr>
        <w:t xml:space="preserve">Category 12: End-of-Life Treatment of Sold Products</w:t>
      </w:r>
    </w:p>
    <w:p>
      <w:pPr>
        <w:numPr>
          <w:ilvl w:val="1"/>
          <w:numId w:val="1015"/>
        </w:numPr>
        <w:pStyle w:val="Compact"/>
      </w:pPr>
      <w:r>
        <w:t xml:space="preserve">Product Weight: 10 kg</w:t>
      </w:r>
    </w:p>
    <w:p>
      <w:pPr>
        <w:numPr>
          <w:ilvl w:val="1"/>
          <w:numId w:val="1015"/>
        </w:numPr>
        <w:pStyle w:val="Compact"/>
      </w:pPr>
      <w:r>
        <w:t xml:space="preserve">Portion to Landfill (100% - 85% recyclability): 1.5 kg</w:t>
      </w:r>
    </w:p>
    <w:p>
      <w:pPr>
        <w:numPr>
          <w:ilvl w:val="1"/>
          <w:numId w:val="1015"/>
        </w:numPr>
        <w:pStyle w:val="Compact"/>
      </w:pPr>
      <w:r>
        <w:t xml:space="preserve">Landfill Emission Factor: 0.5 kg CO2e/kg</w:t>
      </w:r>
    </w:p>
    <w:p>
      <w:pPr>
        <w:numPr>
          <w:ilvl w:val="1"/>
          <w:numId w:val="1015"/>
        </w:numPr>
        <w:pStyle w:val="Compact"/>
      </w:pPr>
      <w:r>
        <w:t xml:space="preserve">Emissions from Disposal: 1.5 kg * 0.5 kg CO2e/kg = 0.75 kg CO2e</w:t>
      </w:r>
    </w:p>
    <w:p>
      <w:pPr>
        <w:pStyle w:val="FirstParagraph"/>
      </w:pPr>
      <w:r>
        <w:rPr>
          <w:bCs/>
          <w:b/>
        </w:rPr>
        <w:t xml:space="preserve">Total Downstream Scope 3 Emissions:</w:t>
      </w:r>
      <w:r>
        <w:t xml:space="preserve"> </w:t>
      </w:r>
      <w:r>
        <w:t xml:space="preserve">1.50 + 30.0 + 0.75 =</w:t>
      </w:r>
      <w:r>
        <w:t xml:space="preserve"> </w:t>
      </w:r>
      <w:r>
        <w:rPr>
          <w:bCs/>
          <w:b/>
        </w:rPr>
        <w:t xml:space="preserve">32.25 kg CO2e</w:t>
      </w:r>
    </w:p>
    <w:bookmarkEnd w:id="34"/>
    <w:bookmarkEnd w:id="35"/>
    <w:bookmarkStart w:id="36" w:name="X299a3717db401fbc63eac38de0814f3ad8939f4"/>
    <w:p>
      <w:pPr>
        <w:pStyle w:val="Heading3"/>
      </w:pPr>
      <w:r>
        <w:t xml:space="preserve">Total Product Carbon Footprint (PCF)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 / Scope</w:t>
            </w:r>
          </w:p>
        </w:tc>
        <w:tc>
          <w:tcPr/>
          <w:p>
            <w:pPr>
              <w:pStyle w:val="Compact"/>
              <w:jc w:val="left"/>
            </w:pPr>
            <w:r>
              <w:t xml:space="preserve">Emissions (kg CO2e)</w:t>
            </w:r>
          </w:p>
        </w:tc>
        <w:tc>
          <w:tcPr/>
          <w:p>
            <w:pPr>
              <w:pStyle w:val="Compact"/>
              <w:jc w:val="left"/>
            </w:pPr>
            <w:r>
              <w:t xml:space="preserve">GHG Protocol Category</w:t>
            </w:r>
          </w:p>
        </w:tc>
      </w:tr>
      <w:tr>
        <w:tc>
          <w:tcPr/>
          <w:p>
            <w:pPr>
              <w:pStyle w:val="Compact"/>
              <w:jc w:val="left"/>
            </w:pPr>
            <w:r>
              <w:rPr>
                <w:bCs/>
                <w:b/>
              </w:rPr>
              <w:t xml:space="preserve">Scope 1: Direct Emissions</w:t>
            </w:r>
          </w:p>
        </w:tc>
        <w:tc>
          <w:tcPr/>
          <w:p>
            <w:pPr>
              <w:pStyle w:val="Compact"/>
              <w:jc w:val="left"/>
            </w:pPr>
            <w:r>
              <w:t xml:space="preserve">0.0</w:t>
            </w:r>
          </w:p>
        </w:tc>
        <w:tc>
          <w:tcPr/>
          <w:p>
            <w:pPr>
              <w:pStyle w:val="Compact"/>
              <w:jc w:val="left"/>
            </w:pPr>
            <w:r>
              <w:t xml:space="preserve">-</w:t>
            </w:r>
          </w:p>
        </w:tc>
      </w:tr>
      <w:tr>
        <w:tc>
          <w:tcPr/>
          <w:p>
            <w:pPr>
              <w:pStyle w:val="Compact"/>
              <w:jc w:val="left"/>
            </w:pPr>
            <w:r>
              <w:rPr>
                <w:bCs/>
                <w:b/>
              </w:rPr>
              <w:t xml:space="preserve">Scope 2: Purchased Energy (Production)</w:t>
            </w:r>
          </w:p>
        </w:tc>
        <w:tc>
          <w:tcPr/>
          <w:p>
            <w:pPr>
              <w:pStyle w:val="Compact"/>
              <w:jc w:val="left"/>
            </w:pPr>
            <w:r>
              <w:t xml:space="preserve">0.975</w:t>
            </w:r>
          </w:p>
        </w:tc>
        <w:tc>
          <w:tcPr/>
          <w:p>
            <w:pPr>
              <w:pStyle w:val="Compact"/>
              <w:jc w:val="left"/>
            </w:pPr>
            <w:r>
              <w:t xml:space="preserve">-</w:t>
            </w:r>
          </w:p>
        </w:tc>
      </w:tr>
      <w:tr>
        <w:tc>
          <w:tcPr/>
          <w:p>
            <w:pPr>
              <w:pStyle w:val="Compact"/>
              <w:jc w:val="left"/>
            </w:pPr>
            <w:r>
              <w:rPr>
                <w:bCs/>
                <w:b/>
              </w:rPr>
              <w:t xml:space="preserve">Scope 3 Upstream:</w:t>
            </w:r>
          </w:p>
        </w:tc>
        <w:tc>
          <w:tcPr/>
          <w:p>
            <w:pPr>
              <w:pStyle w:val="Compact"/>
            </w:pPr>
          </w:p>
        </w:tc>
        <w:tc>
          <w:tcPr/>
          <w:p>
            <w:pPr>
              <w:pStyle w:val="Compact"/>
            </w:pPr>
          </w:p>
        </w:tc>
      </w:tr>
      <w:tr>
        <w:tc>
          <w:tcPr/>
          <w:p>
            <w:pPr>
              <w:pStyle w:val="Compact"/>
              <w:jc w:val="left"/>
            </w:pPr>
            <w:r>
              <w:t xml:space="preserve">    Materials &amp; Pre-processing</w:t>
            </w:r>
          </w:p>
        </w:tc>
        <w:tc>
          <w:tcPr/>
          <w:p>
            <w:pPr>
              <w:pStyle w:val="Compact"/>
              <w:jc w:val="left"/>
            </w:pPr>
            <w:r>
              <w:t xml:space="preserve">73.85</w:t>
            </w:r>
          </w:p>
        </w:tc>
        <w:tc>
          <w:tcPr/>
          <w:p>
            <w:pPr>
              <w:pStyle w:val="Compact"/>
              <w:jc w:val="left"/>
            </w:pPr>
            <w:r>
              <w:t xml:space="preserve">Category 1: Purchased Goods and Services</w:t>
            </w:r>
          </w:p>
        </w:tc>
      </w:tr>
      <w:tr>
        <w:tc>
          <w:tcPr/>
          <w:p>
            <w:pPr>
              <w:pStyle w:val="Compact"/>
              <w:jc w:val="left"/>
            </w:pPr>
            <w:r>
              <w:t xml:space="preserve">    Upstream Renewable Energy (T&amp;D, Well-to-Tank)</w:t>
            </w:r>
          </w:p>
        </w:tc>
        <w:tc>
          <w:tcPr/>
          <w:p>
            <w:pPr>
              <w:pStyle w:val="Compact"/>
              <w:jc w:val="left"/>
            </w:pPr>
            <w:r>
              <w:t xml:space="preserve">0.07</w:t>
            </w:r>
          </w:p>
        </w:tc>
        <w:tc>
          <w:tcPr/>
          <w:p>
            <w:pPr>
              <w:pStyle w:val="Compact"/>
              <w:jc w:val="left"/>
            </w:pPr>
            <w:r>
              <w:t xml:space="preserve">Category 3: Fuel- and Energy-Related Activities</w:t>
            </w:r>
          </w:p>
        </w:tc>
      </w:tr>
      <w:tr>
        <w:tc>
          <w:tcPr/>
          <w:p>
            <w:pPr>
              <w:pStyle w:val="Compact"/>
              <w:jc w:val="left"/>
            </w:pPr>
            <w:r>
              <w:t xml:space="preserve">    Upstream Transport (Materials to Factory)</w:t>
            </w:r>
          </w:p>
        </w:tc>
        <w:tc>
          <w:tcPr/>
          <w:p>
            <w:pPr>
              <w:pStyle w:val="Compact"/>
              <w:jc w:val="left"/>
            </w:pPr>
            <w:r>
              <w:t xml:space="preserve">1.35</w:t>
            </w:r>
          </w:p>
        </w:tc>
        <w:tc>
          <w:tcPr/>
          <w:p>
            <w:pPr>
              <w:pStyle w:val="Compact"/>
              <w:jc w:val="left"/>
            </w:pPr>
            <w:r>
              <w:t xml:space="preserve">Category 4: Upstream Transportation and Distribution</w:t>
            </w:r>
          </w:p>
        </w:tc>
      </w:tr>
      <w:tr>
        <w:tc>
          <w:tcPr/>
          <w:p>
            <w:pPr>
              <w:pStyle w:val="Compact"/>
              <w:jc w:val="left"/>
            </w:pPr>
            <w:r>
              <w:rPr>
                <w:bCs/>
                <w:b/>
              </w:rPr>
              <w:t xml:space="preserve">Scope 3 Downstream:</w:t>
            </w:r>
          </w:p>
        </w:tc>
        <w:tc>
          <w:tcPr/>
          <w:p>
            <w:pPr>
              <w:pStyle w:val="Compact"/>
            </w:pPr>
          </w:p>
        </w:tc>
        <w:tc>
          <w:tcPr/>
          <w:p>
            <w:pPr>
              <w:pStyle w:val="Compact"/>
            </w:pPr>
          </w:p>
        </w:tc>
      </w:tr>
      <w:tr>
        <w:tc>
          <w:tcPr/>
          <w:p>
            <w:pPr>
              <w:pStyle w:val="Compact"/>
              <w:jc w:val="left"/>
            </w:pPr>
            <w:r>
              <w:t xml:space="preserve">    Downstream Transport (Factory to Customer)</w:t>
            </w:r>
          </w:p>
        </w:tc>
        <w:tc>
          <w:tcPr/>
          <w:p>
            <w:pPr>
              <w:pStyle w:val="Compact"/>
              <w:jc w:val="left"/>
            </w:pPr>
            <w:r>
              <w:t xml:space="preserve">1.50</w:t>
            </w:r>
          </w:p>
        </w:tc>
        <w:tc>
          <w:tcPr/>
          <w:p>
            <w:pPr>
              <w:pStyle w:val="Compact"/>
              <w:jc w:val="left"/>
            </w:pPr>
            <w:r>
              <w:t xml:space="preserve">Category 9: Downstream Transportation and Distribution</w:t>
            </w:r>
          </w:p>
        </w:tc>
      </w:tr>
      <w:tr>
        <w:tc>
          <w:tcPr/>
          <w:p>
            <w:pPr>
              <w:pStyle w:val="Compact"/>
              <w:jc w:val="left"/>
            </w:pPr>
            <w:r>
              <w:t xml:space="preserve">    Use of Sold Products</w:t>
            </w:r>
          </w:p>
        </w:tc>
        <w:tc>
          <w:tcPr/>
          <w:p>
            <w:pPr>
              <w:pStyle w:val="Compact"/>
              <w:jc w:val="left"/>
            </w:pPr>
            <w:r>
              <w:t xml:space="preserve">30.0</w:t>
            </w:r>
          </w:p>
        </w:tc>
        <w:tc>
          <w:tcPr/>
          <w:p>
            <w:pPr>
              <w:pStyle w:val="Compact"/>
              <w:jc w:val="left"/>
            </w:pPr>
            <w:r>
              <w:t xml:space="preserve">Category 11: Use of Sold Products</w:t>
            </w:r>
          </w:p>
        </w:tc>
      </w:tr>
      <w:tr>
        <w:tc>
          <w:tcPr/>
          <w:p>
            <w:pPr>
              <w:pStyle w:val="Compact"/>
              <w:jc w:val="left"/>
            </w:pPr>
            <w:r>
              <w:t xml:space="preserve">    End-of-Life Treatment</w:t>
            </w:r>
          </w:p>
        </w:tc>
        <w:tc>
          <w:tcPr/>
          <w:p>
            <w:pPr>
              <w:pStyle w:val="Compact"/>
              <w:jc w:val="left"/>
            </w:pPr>
            <w:r>
              <w:t xml:space="preserve">0.75</w:t>
            </w:r>
          </w:p>
        </w:tc>
        <w:tc>
          <w:tcPr/>
          <w:p>
            <w:pPr>
              <w:pStyle w:val="Compact"/>
              <w:jc w:val="left"/>
            </w:pPr>
            <w:r>
              <w:t xml:space="preserve">Category 12: End-of-Life Treatment of Sold Products</w:t>
            </w:r>
          </w:p>
        </w:tc>
      </w:tr>
      <w:tr>
        <w:tc>
          <w:tcPr/>
          <w:p>
            <w:pPr>
              <w:pStyle w:val="Compact"/>
              <w:jc w:val="left"/>
            </w:pPr>
            <w:r>
              <w:rPr>
                <w:bCs/>
                <w:b/>
              </w:rPr>
              <w:t xml:space="preserve">TOTAL PRODUCT CARBON FOOTPRINT</w:t>
            </w:r>
          </w:p>
        </w:tc>
        <w:tc>
          <w:tcPr/>
          <w:p>
            <w:pPr>
              <w:pStyle w:val="Compact"/>
              <w:jc w:val="left"/>
            </w:pPr>
            <w:r>
              <w:rPr>
                <w:bCs/>
                <w:b/>
              </w:rPr>
              <w:t xml:space="preserve">108.495</w:t>
            </w:r>
          </w:p>
        </w:tc>
        <w:tc>
          <w:tcPr/>
          <w:p>
            <w:pPr>
              <w:pStyle w:val="Compact"/>
            </w:pPr>
          </w:p>
        </w:tc>
      </w:tr>
    </w:tbl>
    <w:p>
      <w:pPr>
        <w:pStyle w:val="BodyText"/>
      </w:pPr>
      <w:r>
        <w:rPr>
          <w:bCs/>
          <w:b/>
        </w:rPr>
        <w:t xml:space="preserve">Total Product Carbon Footprint for hoxvqwwhmf: 108.50 kg CO2e (rounded)</w:t>
      </w:r>
    </w:p>
    <w:bookmarkEnd w:id="36"/>
    <w:bookmarkStart w:id="37" w:name="lsr-update-application"/>
    <w:p>
      <w:pPr>
        <w:pStyle w:val="Heading3"/>
      </w:pPr>
      <w:r>
        <w:t xml:space="preserve">2026 LSR Update Application</w:t>
      </w:r>
    </w:p>
    <w:p>
      <w:pPr>
        <w:pStyle w:val="FirstParagraph"/>
      </w:pPr>
      <w:r>
        <w:t xml:space="preserve">The Land Sector and Removals (LSR) Standard, taking effect January 1, 2027, sets requirements for corporate GHG accounting covering emissions and carbon removals from agricultural and land use activities. While primarily focused on companies with significant land-sector activities (e.g., food, feed, fiber, biofuel sectors) or those reporting carbon dioxide removals, its principles were considered. For a manufactured product like hoxvqwwhmf, whose primary components are metals, plastics, and electronics, direct land-use change or biogenic carbon removals are generally minimal. Therefore, while the LSR Standard is acknowledged, its direct quantitative impact on this specific PCF is considered negligible in the absence of significant bio-based materials or explicit land-use change data in the supply chain.</w:t>
      </w:r>
    </w:p>
    <w:bookmarkEnd w:id="37"/>
    <w:bookmarkStart w:id="38" w:name="scope-3-compliance-95-coverage"/>
    <w:p>
      <w:pPr>
        <w:pStyle w:val="Heading3"/>
      </w:pPr>
      <w:r>
        <w:t xml:space="preserve">Scope 3 Compliance (95% Coverage)</w:t>
      </w:r>
    </w:p>
    <w:p>
      <w:pPr>
        <w:pStyle w:val="FirstParagraph"/>
      </w:pPr>
      <w:r>
        <w:t xml:space="preserve">The analysis for hoxvqwwhmf achieved broad coverage of Scope 3 emissions, including upstream material acquisition, upstream and downstream transportation, energy-related activities (outside Scope 1 &amp; 2), the use phase, and end-of-life treatment. These categories typically represent the most significant indirect emissions for manufactured goods. By detailing each stage and incorporating specific data, the report ensures comprehensive reporting, aiming for at least 95% coverage of relevant Scope 3 emissions as per 2026 requirements.</w:t>
      </w:r>
    </w:p>
    <w:p>
      <w:r>
        <w:pict>
          <v:rect style="width:0;height:1.5pt" o:hralign="center" o:hrstd="t" o:hr="t"/>
        </w:pict>
      </w:r>
    </w:p>
    <w:bookmarkEnd w:id="38"/>
    <w:bookmarkEnd w:id="39"/>
    <w:bookmarkStart w:id="42" w:name="review-report-hotspots-and-reliability"/>
    <w:p>
      <w:pPr>
        <w:pStyle w:val="Heading2"/>
      </w:pPr>
      <w:r>
        <w:t xml:space="preserve">5. Review &amp; Report: Hotspots and Reliability</w:t>
      </w:r>
    </w:p>
    <w:bookmarkStart w:id="40" w:name="emission-hotspots"/>
    <w:p>
      <w:pPr>
        <w:pStyle w:val="Heading3"/>
      </w:pPr>
      <w:r>
        <w:t xml:space="preserve">Emission Hotspots</w:t>
      </w:r>
    </w:p>
    <w:p>
      <w:pPr>
        <w:pStyle w:val="FirstParagraph"/>
      </w:pPr>
      <w:r>
        <w:t xml:space="preserve">The analysis reveals the following major emission hotspots for hoxvqwwhmf:</w:t>
      </w:r>
    </w:p>
    <w:p>
      <w:pPr>
        <w:numPr>
          <w:ilvl w:val="0"/>
          <w:numId w:val="1016"/>
        </w:numPr>
        <w:pStyle w:val="Compact"/>
      </w:pPr>
      <w:r>
        <w:rPr>
          <w:bCs/>
          <w:b/>
        </w:rPr>
        <w:t xml:space="preserve">Material Acquisition &amp; Pre-processing (73.85 kg CO2e):</w:t>
      </w:r>
      <w:r>
        <w:t xml:space="preserve"> </w:t>
      </w:r>
      <w:r>
        <w:t xml:space="preserve">This phase, particularly driven by components like the Lithium-ion Battery Pack and Printed Circuit Board, accounts for approximately 68% of the total PCF. This highlights the critical importance of sustainable sourcing and engaging suppliers for low-carbon materials.</w:t>
      </w:r>
    </w:p>
    <w:p>
      <w:pPr>
        <w:numPr>
          <w:ilvl w:val="0"/>
          <w:numId w:val="1016"/>
        </w:numPr>
        <w:pStyle w:val="Compact"/>
      </w:pPr>
      <w:r>
        <w:rPr>
          <w:bCs/>
          <w:b/>
        </w:rPr>
        <w:t xml:space="preserve">Use of Sold Products (30.0 kg CO2e):</w:t>
      </w:r>
      <w:r>
        <w:t xml:space="preserve"> </w:t>
      </w:r>
      <w:r>
        <w:t xml:space="preserve">The energy consumed during the product\'s 5-year lifespan contributes about 28% of the total footprint. This emphasizes the need for energy-efficient product design and encouraging renewable energy use by consumers.</w:t>
      </w:r>
    </w:p>
    <w:p>
      <w:pPr>
        <w:numPr>
          <w:ilvl w:val="0"/>
          <w:numId w:val="1016"/>
        </w:numPr>
        <w:pStyle w:val="Compact"/>
      </w:pPr>
      <w:r>
        <w:rPr>
          <w:bCs/>
          <w:b/>
        </w:rPr>
        <w:t xml:space="preserve">Transportation (2.85 kg CO2e):</w:t>
      </w:r>
      <w:r>
        <w:t xml:space="preserve"> </w:t>
      </w:r>
      <w:r>
        <w:t xml:space="preserve">While less significant than materials or use phase, transportation accounts for about 2.6% of the total, indicating opportunities for optimizing logistics and selecting lower-emission transport modes.</w:t>
      </w:r>
    </w:p>
    <w:p>
      <w:pPr>
        <w:numPr>
          <w:ilvl w:val="0"/>
          <w:numId w:val="1016"/>
        </w:numPr>
        <w:pStyle w:val="Compact"/>
      </w:pPr>
      <w:r>
        <w:rPr>
          <w:bCs/>
          <w:b/>
        </w:rPr>
        <w:t xml:space="preserve">Production Energy (0.975 kg CO2e Scope 2, 0.07 kg CO2e Scope 3):</w:t>
      </w:r>
      <w:r>
        <w:t xml:space="preserve"> </w:t>
      </w:r>
      <w:r>
        <w:t xml:space="preserve">Emissions directly from the factory\'s purchased electricity, even with 70% renewable usage, still contribute, albeit a smaller portion (approximately 1%) due to the high renewable energy adoption.</w:t>
      </w:r>
    </w:p>
    <w:bookmarkEnd w:id="40"/>
    <w:bookmarkStart w:id="41" w:name="reliability-and-limitations"/>
    <w:p>
      <w:pPr>
        <w:pStyle w:val="Heading3"/>
      </w:pPr>
      <w:r>
        <w:t xml:space="preserve">Reliability and Limitations</w:t>
      </w:r>
    </w:p>
    <w:p>
      <w:pPr>
        <w:pStyle w:val="FirstParagraph"/>
      </w:pPr>
      <w:r>
        <w:t xml:space="preserve">The reliability of this PCF analysis is high due to the use of specific primary data (Detailed BOM, energy usage, recyclability) and adherence to the GHG Protocol. However, certain limitations inherent in PCF studies should be noted:</w:t>
      </w:r>
    </w:p>
    <w:p>
      <w:pPr>
        <w:numPr>
          <w:ilvl w:val="0"/>
          <w:numId w:val="1017"/>
        </w:numPr>
        <w:pStyle w:val="Compact"/>
      </w:pPr>
      <w:r>
        <w:rPr>
          <w:bCs/>
          <w:b/>
        </w:rPr>
        <w:t xml:space="preserve">Secondary Data Reliance:</w:t>
      </w:r>
      <w:r>
        <w:t xml:space="preserve"> </w:t>
      </w:r>
      <w:r>
        <w:t xml:space="preserve">While primary data was prioritized, some emission factors (e.g., for generic transport modes, grid electricity mixes, and waste treatment) are based on secondary industry-average databases (Ecoinvent, DEFRA). These factors represent typical conditions and may not perfectly reflect specific supplier or regional nuances.</w:t>
      </w:r>
    </w:p>
    <w:p>
      <w:pPr>
        <w:numPr>
          <w:ilvl w:val="0"/>
          <w:numId w:val="1017"/>
        </w:numPr>
        <w:pStyle w:val="Compact"/>
      </w:pPr>
      <w:r>
        <w:rPr>
          <w:bCs/>
          <w:b/>
        </w:rPr>
        <w:t xml:space="preserve">Assumptions for Placeholders:</w:t>
      </w:r>
      <w:r>
        <w:t xml:space="preserve"> </w:t>
      </w:r>
      <w:r>
        <w:t xml:space="preserve">Specific numerical values were assumed for placeholder parameters (e.g., transport distance, energy consumption in use, product weight) to enable quantitative analysis. Variations in these real-world values would alter the results.</w:t>
      </w:r>
    </w:p>
    <w:p>
      <w:pPr>
        <w:numPr>
          <w:ilvl w:val="0"/>
          <w:numId w:val="1017"/>
        </w:numPr>
        <w:pStyle w:val="Compact"/>
      </w:pPr>
      <w:r>
        <w:rPr>
          <w:bCs/>
          <w:b/>
        </w:rPr>
        <w:t xml:space="preserve">EoL Simplifications:</w:t>
      </w:r>
      <w:r>
        <w:t xml:space="preserve"> </w:t>
      </w:r>
      <w:r>
        <w:t xml:space="preserve">The End-of-Life calculation focused on disposal emissions, acknowledging circular programs and high recyclability qualitatively. A full Life Cycle Assessment (LCA) might delve deeper into avoided emissions from recycling, which are complex to quantify within a strict PCF boundary.</w:t>
      </w:r>
    </w:p>
    <w:p>
      <w:pPr>
        <w:numPr>
          <w:ilvl w:val="0"/>
          <w:numId w:val="1017"/>
        </w:numPr>
        <w:pStyle w:val="Compact"/>
      </w:pPr>
      <w:r>
        <w:rPr>
          <w:bCs/>
          <w:b/>
        </w:rPr>
        <w:t xml:space="preserve">Product System Boundary:</w:t>
      </w:r>
      <w:r>
        <w:t xml:space="preserve"> </w:t>
      </w:r>
      <w:r>
        <w:t xml:space="preserve">The "factory_gate" boundary for the product\'s main emissions, while expanded with key downstream stages, may exclude certain upstream capital goods or business travel not directly tied to the product\'s material or energy flow.</w:t>
      </w:r>
    </w:p>
    <w:p>
      <w:r>
        <w:pict>
          <v:rect style="width:0;height:1.5pt" o:hralign="center" o:hrstd="t" o:hr="t"/>
        </w:pict>
      </w:r>
    </w:p>
    <w:bookmarkEnd w:id="41"/>
    <w:bookmarkEnd w:id="42"/>
    <w:bookmarkStart w:id="43" w:name="conclusion"/>
    <w:p>
      <w:pPr>
        <w:pStyle w:val="Heading2"/>
      </w:pPr>
      <w:r>
        <w:t xml:space="preserve">Conclusion</w:t>
      </w:r>
    </w:p>
    <w:p>
      <w:pPr>
        <w:pStyle w:val="FirstParagraph"/>
      </w:pPr>
      <w:r>
        <w:t xml:space="preserve">The Product Carbon Footprint for hoxvqwwhmf is calculated to be approximately</w:t>
      </w:r>
      <w:r>
        <w:t xml:space="preserve"> </w:t>
      </w:r>
      <w:r>
        <w:rPr>
          <w:bCs/>
          <w:b/>
        </w:rPr>
        <w:t xml:space="preserve">108.50 kg CO2e</w:t>
      </w:r>
      <w:r>
        <w:t xml:space="preserve"> </w:t>
      </w:r>
      <w:r>
        <w:t xml:space="preserve">per unit. The most impactful stages are material acquisition and the product\'s use phase, presenting the most significant opportunities for emissions reduction. By focusing on sustainable material choices, collaborating with suppliers for lower-carbon components, enhancing product energy efficiency, and promoting responsible end-of-life management, rwrlinsoqj can significantly reduce the environmental impact of hoxvqwwhmf. This analysis provides a robust foundation for strategic decision-making and aligns with the company\'s commitment to sustainability and transparent GHG reporting.</w:t>
      </w:r>
    </w:p>
    <w:p>
      <w:pPr>
        <w:pStyle w:val="BodyText"/>
      </w:pPr>
      <w:r>
        <w:t xml:space="preserve">Confidential - Internal Use Only | Page</w:t>
      </w:r>
      <w:r>
        <w:t xml:space="preserve"> </w:t>
      </w:r>
      <w:r>
        <w:t xml:space="preserve"> </w:t>
      </w:r>
      <w:r>
        <w:t xml:space="preserve">of</w:t>
      </w:r>
      <w:r>
        <w:t xml:space="preserve"> </w:t>
      </w:r>
    </w:p>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hoxvqwwhmf</dc:title>
  <dc:creator/>
  <dc:description>Detailed Product Carbon Footprint (PCF) analysis report for product hoxvqwwhmf, company rwrlinsoqj, adhering to GHG Protocol standards and including Scope 1, 2, and 3 emissions across the lifecycle.</dc:description>
  <dc:language>en</dc:language>
  <cp:keywords/>
  <dcterms:created xsi:type="dcterms:W3CDTF">2026-05-30T15:56:30Z</dcterms:created>
  <dcterms:modified xsi:type="dcterms:W3CDTF">2026-05-30T15:56:30Z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