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hospdypmzu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hospdypmzu</w:t>
      </w:r>
    </w:p>
    <w:p>
      <w:pPr>
        <w:pStyle w:val="BodyText"/>
      </w:pPr>
      <w:r>
        <w:rPr>
          <w:bCs/>
          <w:b/>
        </w:rPr>
        <w:t xml:space="preserve">Company:</w:t>
      </w:r>
      <w:r>
        <w:t xml:space="preserve"> </w:t>
      </w:r>
      <w:r>
        <w:t xml:space="preserve">ugzvxvdgyn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pwjpwvywqu</w:t>
      </w:r>
    </w:p>
    <w:p>
      <w:pPr>
        <w:pStyle w:val="BodyText"/>
      </w:pPr>
      <w:r>
        <w:t xml:space="preserve">This report is generated based on available data and industry standards. While efforts have been made to ensure accuracy, the actual carbon footprint may vary based on specific operational details and evolving methodologies.</w:t>
      </w:r>
    </w:p>
    <w:bookmarkEnd w:id="20"/>
    <w:bookmarkStart w:id="21" w:name="Xeba3ab3af2b100ec51d1f79ac6e80b14ba10778"/>
    <w:p>
      <w:pPr>
        <w:pStyle w:val="Heading1"/>
      </w:pPr>
      <w:r>
        <w:t xml:space="preserve">Product Carbon Footprint Report for hospdypmzu</w:t>
      </w:r>
    </w:p>
    <w:p>
      <w:pPr>
        <w:pStyle w:val="FirstParagraph"/>
      </w:pPr>
      <w:r>
        <w:t xml:space="preserve">Generated Date: May 28,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hospdypmzu</w:t>
      </w:r>
      <w:r>
        <w:t xml:space="preserve">, manufactured by</w:t>
      </w:r>
      <w:r>
        <w:t xml:space="preserve"> </w:t>
      </w:r>
      <w:r>
        <w:rPr>
          <w:bCs/>
          <w:b/>
        </w:rPr>
        <w:t xml:space="preserve">ugzvxvdgyn</w:t>
      </w:r>
      <w:r>
        <w:t xml:space="preserve">. Conducted by</w:t>
      </w:r>
      <w:r>
        <w:t xml:space="preserve"> </w:t>
      </w:r>
      <w:r>
        <w:rPr>
          <w:bCs/>
          <w:b/>
        </w:rPr>
        <w:t xml:space="preserve">pwjpwvywqu</w:t>
      </w:r>
      <w:r>
        <w:t xml:space="preserve">, Senior Sustainability Consultant, this analysis adheres strictly to the GHG Protocol accounting standard, incorporating the 2026 Land Sector and Removals (LSR) update and targeting a minimum of 95% Scope 3 coverage. The PCF quantifies greenhouse gas emissions across the product\'s lifecycle, from raw material acquisition to end-of-life, providing insights into emission hotspots and opportunities for reduction.</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the product</w:t>
      </w:r>
      <w:r>
        <w:t xml:space="preserve"> </w:t>
      </w:r>
      <w:r>
        <w:rPr>
          <w:bCs/>
          <w:b/>
        </w:rPr>
        <w:t xml:space="preserve">hospdypmzu</w:t>
      </w:r>
      <w:r>
        <w:t xml:space="preserve">, serving its intended purpose for its estimated lifespan.</w:t>
      </w:r>
    </w:p>
    <w:bookmarkEnd w:id="23"/>
    <w:bookmarkStart w:id="24" w:name="system-boundary"/>
    <w:p>
      <w:pPr>
        <w:pStyle w:val="Heading3"/>
      </w:pPr>
      <w:r>
        <w:t xml:space="preserve">1.2 System Boundary</w:t>
      </w:r>
    </w:p>
    <w:p>
      <w:pPr>
        <w:pStyle w:val="FirstParagraph"/>
      </w:pPr>
      <w:r>
        <w:t xml:space="preserve">The system boundary is defined as</w:t>
      </w:r>
      <w:r>
        <w:t xml:space="preserve"> </w:t>
      </w:r>
      <w:r>
        <w:rPr>
          <w:bCs/>
          <w:b/>
        </w:rPr>
        <w:t xml:space="preserve">"factory_gate"</w:t>
      </w:r>
      <w:r>
        <w:t xml:space="preserve">, which typically includes raw material extraction and processing, manufacturing, and transport to the factory gate. For this high-detail PCF, the analysis extends beyond the factory gate to include the full lifecycle, encompassing:</w:t>
      </w:r>
    </w:p>
    <w:p>
      <w:pPr>
        <w:numPr>
          <w:ilvl w:val="0"/>
          <w:numId w:val="1001"/>
        </w:numPr>
        <w:pStyle w:val="Compact"/>
      </w:pPr>
      <w:r>
        <w:t xml:space="preserve">Raw Material Acquisition &amp; Pre-processing</w:t>
      </w:r>
    </w:p>
    <w:p>
      <w:pPr>
        <w:numPr>
          <w:ilvl w:val="0"/>
          <w:numId w:val="1001"/>
        </w:numPr>
        <w:pStyle w:val="Compact"/>
      </w:pPr>
      <w:r>
        <w:t xml:space="preserve">Manufacturing (including assembly and packaging at ugzvxvdgyn\'s facility)</w:t>
      </w:r>
    </w:p>
    <w:p>
      <w:pPr>
        <w:numPr>
          <w:ilvl w:val="0"/>
          <w:numId w:val="1001"/>
        </w:numPr>
        <w:pStyle w:val="Compact"/>
      </w:pPr>
      <w:r>
        <w:t xml:space="preserve">Distribution (transport from factory gate to customer, including last-mile delivery)</w:t>
      </w:r>
    </w:p>
    <w:p>
      <w:pPr>
        <w:numPr>
          <w:ilvl w:val="0"/>
          <w:numId w:val="1001"/>
        </w:numPr>
        <w:pStyle w:val="Compact"/>
      </w:pPr>
      <w:r>
        <w:t xml:space="preserve">Use Phase (customer usage over product lifespan)</w:t>
      </w:r>
    </w:p>
    <w:p>
      <w:pPr>
        <w:numPr>
          <w:ilvl w:val="0"/>
          <w:numId w:val="1001"/>
        </w:numPr>
        <w:pStyle w:val="Compact"/>
      </w:pPr>
      <w:r>
        <w:t xml:space="preserve">End-of-Life (disposal, recycling, or recovery)</w:t>
      </w:r>
    </w:p>
    <w:bookmarkEnd w:id="24"/>
    <w:bookmarkStart w:id="25" w:name="geographic-scope"/>
    <w:p>
      <w:pPr>
        <w:pStyle w:val="Heading3"/>
      </w:pPr>
      <w:r>
        <w:t xml:space="preserve">1.3 Geographic Scope</w:t>
      </w:r>
    </w:p>
    <w:p>
      <w:pPr>
        <w:pStyle w:val="FirstParagraph"/>
      </w:pPr>
      <w:r>
        <w:t xml:space="preserve">The geographic scope for final production is</w:t>
      </w:r>
      <w:r>
        <w:t xml:space="preserve"> </w:t>
      </w:r>
      <w:r>
        <w:rPr>
          <w:bCs/>
          <w:b/>
        </w:rPr>
        <w:t xml:space="preserve">China</w:t>
      </w:r>
      <w:r>
        <w:t xml:space="preserve">, with a primary supply chain focus on</w:t>
      </w:r>
      <w:r>
        <w:t xml:space="preserve"> </w:t>
      </w:r>
      <w:r>
        <w:rPr>
          <w:bCs/>
          <w:b/>
        </w:rPr>
        <w:t xml:space="preserve">Europe</w:t>
      </w:r>
      <w:r>
        <w:t xml:space="preserve">. Emission factors and grid electricity mixes are selected to reflect these regions where appropriate.</w:t>
      </w:r>
    </w:p>
    <w:bookmarkEnd w:id="25"/>
    <w:bookmarkStart w:id="26" w:name="accounting-standard-and-principles"/>
    <w:p>
      <w:pPr>
        <w:pStyle w:val="Heading3"/>
      </w:pPr>
      <w:r>
        <w:t xml:space="preserve">1.4 Accounting Standard and Principles</w:t>
      </w:r>
    </w:p>
    <w:p>
      <w:pPr>
        <w:pStyle w:val="FirstParagraph"/>
      </w:pPr>
      <w:r>
        <w:t xml:space="preserve">This PCF analysis strictly adheres to the</w:t>
      </w:r>
      <w:r>
        <w:t xml:space="preserve"> </w:t>
      </w:r>
      <w:r>
        <w:rPr>
          <w:bCs/>
          <w:b/>
        </w:rPr>
        <w:t xml:space="preserve">GHG Protocol</w:t>
      </w:r>
      <w:r>
        <w:t xml:space="preserve">, the most widely used international accounting standard for quantifying greenhouse gas emissions. Key principles applied include relevance, completeness, consistency, transparency, and accuracy.</w:t>
      </w:r>
    </w:p>
    <w:p>
      <w:pPr>
        <w:numPr>
          <w:ilvl w:val="0"/>
          <w:numId w:val="1002"/>
        </w:numPr>
        <w:pStyle w:val="Compact"/>
      </w:pPr>
      <w:r>
        <w:rPr>
          <w:bCs/>
          <w:b/>
        </w:rPr>
        <w:t xml:space="preserve">GHG Protocol Scopes:</w:t>
      </w:r>
      <w:r>
        <w:t xml:space="preserve"> </w:t>
      </w:r>
      <w:r>
        <w:t xml:space="preserve">Emissions are categorized into:</w:t>
      </w:r>
    </w:p>
    <w:p>
      <w:pPr>
        <w:numPr>
          <w:ilvl w:val="1"/>
          <w:numId w:val="1003"/>
        </w:numPr>
        <w:pStyle w:val="Compact"/>
      </w:pPr>
      <w:r>
        <w:rPr>
          <w:bCs/>
          <w:b/>
        </w:rPr>
        <w:t xml:space="preserve">Scope 1:</w:t>
      </w:r>
      <w:r>
        <w:t xml:space="preserve"> </w:t>
      </w:r>
      <w:r>
        <w:t xml:space="preserve">Direct emissions from sources owned or controlled by ugzvxvdgyn (e.g., fuel combustion in company vehicles or facilities).</w:t>
      </w:r>
    </w:p>
    <w:p>
      <w:pPr>
        <w:numPr>
          <w:ilvl w:val="1"/>
          <w:numId w:val="1003"/>
        </w:numPr>
        <w:pStyle w:val="Compact"/>
      </w:pPr>
      <w:r>
        <w:rPr>
          <w:bCs/>
          <w:b/>
        </w:rPr>
        <w:t xml:space="preserve">Scope 2:</w:t>
      </w:r>
      <w:r>
        <w:t xml:space="preserve"> </w:t>
      </w:r>
      <w:r>
        <w:t xml:space="preserve">Indirect emissions from the generation of purchased electricity, heat, or steam consumed by ugzvxvdgyn.</w:t>
      </w:r>
    </w:p>
    <w:p>
      <w:pPr>
        <w:numPr>
          <w:ilvl w:val="1"/>
          <w:numId w:val="1003"/>
        </w:numPr>
        <w:pStyle w:val="Compact"/>
      </w:pPr>
      <w:r>
        <w:rPr>
          <w:bCs/>
          <w:b/>
        </w:rPr>
        <w:t xml:space="preserve">Scope 3:</w:t>
      </w:r>
      <w:r>
        <w:t xml:space="preserve"> </w:t>
      </w:r>
      <w:r>
        <w:t xml:space="preserve">All other indirect emissions that occur in the value chain of ugzvxvdgyn, both upstream and downstream. This includes emissions from raw materials, transportation, product use, and end-of-life treatment.</w:t>
      </w:r>
    </w:p>
    <w:p>
      <w:pPr>
        <w:numPr>
          <w:ilvl w:val="0"/>
          <w:numId w:val="1002"/>
        </w:numPr>
        <w:pStyle w:val="Compact"/>
      </w:pPr>
      <w:r>
        <w:rPr>
          <w:bCs/>
          <w:b/>
        </w:rPr>
        <w:t xml:space="preserve">2026 LSR Update:</w:t>
      </w:r>
      <w:r>
        <w:t xml:space="preserve"> </w:t>
      </w:r>
      <w:r>
        <w:t xml:space="preserve">The analysis applies the principles of the Land Sector and Removals (LSR) Standard. This means that, where relevant data is available, biogenic carbon fluxes, direct land-use change impacts, and carbon removals (e.g., through bioenergy with carbon capture and storage or direct air capture) are considered and reported transparently. For this specific product, direct LSR impacts are not explicitly detailed due to the lack of specific land-use related data, but the framework for their inclusion is acknowledged.</w:t>
      </w:r>
    </w:p>
    <w:p>
      <w:pPr>
        <w:numPr>
          <w:ilvl w:val="0"/>
          <w:numId w:val="1002"/>
        </w:numPr>
        <w:pStyle w:val="Compact"/>
      </w:pPr>
      <w:r>
        <w:rPr>
          <w:bCs/>
          <w:b/>
        </w:rPr>
        <w:t xml:space="preserve">Scope 3 Compliance:</w:t>
      </w:r>
      <w:r>
        <w:t xml:space="preserve"> </w:t>
      </w:r>
      <w:r>
        <w:t xml:space="preserve">Ensuring at least 95% coverage for Scope 3 reporting is a critical requirement for 2026. This analysis aims for comprehensive coverage by including detailed material inputs, transport, use-phase energy, and end-of-life scenarios.</w:t>
      </w:r>
    </w:p>
    <w:p>
      <w:pPr>
        <w:numPr>
          <w:ilvl w:val="0"/>
          <w:numId w:val="1002"/>
        </w:numPr>
        <w:pStyle w:val="Compact"/>
      </w:pPr>
      <w:r>
        <w:rPr>
          <w:bCs/>
          <w:b/>
        </w:rPr>
        <w:t xml:space="preserve">Allocation:</w:t>
      </w:r>
      <w:r>
        <w:t xml:space="preserve"> </w:t>
      </w:r>
      <w:r>
        <w:t xml:space="preserve">For multi-output processes, allocation of emissions is performed using scientifically sound and justifiable methods, typically based on mass or economic value, to ensure a fair representation of the product\'s share of environmental impact. For this PCF, all relevant emissions are directly attributed to the functional unit.</w:t>
      </w:r>
    </w:p>
    <w:p>
      <w:r>
        <w:pict>
          <v:rect style="width:0;height:1.5pt" o:hralign="center" o:hrstd="t" o:hr="t"/>
        </w:pict>
      </w:r>
    </w:p>
    <w:bookmarkEnd w:id="26"/>
    <w:bookmarkEnd w:id="27"/>
    <w:bookmarkStart w:id="32" w:name="X668a29dea6996859d52024a913312988ccfa3c9"/>
    <w:p>
      <w:pPr>
        <w:pStyle w:val="Heading2"/>
      </w:pPr>
      <w:r>
        <w:t xml:space="preserve">2. Map Lifecycle (LCI Inventory Stages) &amp; 3. Collect Data</w:t>
      </w:r>
    </w:p>
    <w:p>
      <w:pPr>
        <w:pStyle w:val="FirstParagraph"/>
      </w:pPr>
      <w:r>
        <w:t xml:space="preserve">The product lifecycle of hospdypmzu is mapped into distinct stages to systematically collect data and calculate emissions. Data collection integrates primary company-specific data with secondary industry-standard emission factors.</w:t>
      </w:r>
    </w:p>
    <w:bookmarkStart w:id="28" w:name="primary-data-points"/>
    <w:p>
      <w:pPr>
        <w:pStyle w:val="Heading3"/>
      </w:pPr>
      <w:r>
        <w:t xml:space="preserve">2.1 Primary Data Points</w:t>
      </w:r>
    </w:p>
    <w:p>
      <w:pPr>
        <w:pStyle w:val="FirstParagraph"/>
      </w:pPr>
      <w:r>
        <w:t xml:space="preserve">The following specific parameters were provided and incorporated into the analysis:</w:t>
      </w:r>
    </w:p>
    <w:p>
      <w:pPr>
        <w:numPr>
          <w:ilvl w:val="0"/>
          <w:numId w:val="1004"/>
        </w:numPr>
        <w:pStyle w:val="Compact"/>
      </w:pPr>
      <w:r>
        <w:rPr>
          <w:bCs/>
          <w:b/>
        </w:rPr>
        <w:t xml:space="preserve">Company Name:</w:t>
      </w:r>
      <w:r>
        <w:t xml:space="preserve"> </w:t>
      </w:r>
      <w:r>
        <w:t xml:space="preserve">ugzvxvdgyn</w:t>
      </w:r>
    </w:p>
    <w:p>
      <w:pPr>
        <w:numPr>
          <w:ilvl w:val="0"/>
          <w:numId w:val="1004"/>
        </w:numPr>
        <w:pStyle w:val="Compact"/>
      </w:pPr>
      <w:r>
        <w:rPr>
          <w:bCs/>
          <w:b/>
        </w:rPr>
        <w:t xml:space="preserve">Product Name:</w:t>
      </w:r>
      <w:r>
        <w:t xml:space="preserve"> </w:t>
      </w:r>
      <w:r>
        <w:t xml:space="preserve">hospdypmzu</w:t>
      </w:r>
    </w:p>
    <w:p>
      <w:pPr>
        <w:numPr>
          <w:ilvl w:val="0"/>
          <w:numId w:val="1004"/>
        </w:numPr>
        <w:pStyle w:val="Compact"/>
      </w:pPr>
      <w:r>
        <w:rPr>
          <w:bCs/>
          <w:b/>
        </w:rPr>
        <w:t xml:space="preserve">Senior Sustainability Consultant:</w:t>
      </w:r>
      <w:r>
        <w:t xml:space="preserve"> </w:t>
      </w:r>
      <w:r>
        <w:t xml:space="preserve">pwjpwvywqu</w:t>
      </w:r>
    </w:p>
    <w:p>
      <w:pPr>
        <w:numPr>
          <w:ilvl w:val="0"/>
          <w:numId w:val="1004"/>
        </w:numPr>
        <w:pStyle w:val="Compact"/>
      </w:pPr>
      <w:r>
        <w:rPr>
          <w:bCs/>
          <w:b/>
        </w:rPr>
        <w:t xml:space="preserve">Detailed Bill of Materials (BOM) Format:</w:t>
      </w:r>
      <w:r>
        <w:t xml:space="preserve"> </w:t>
      </w:r>
      <w:r>
        <w:t xml:space="preserve">ID, Description, Category, Process, Qty, Unit, Emission Factor, Total Carbon.</w:t>
      </w:r>
    </w:p>
    <w:p>
      <w:pPr>
        <w:numPr>
          <w:ilvl w:val="0"/>
          <w:numId w:val="1004"/>
        </w:numPr>
        <w:pStyle w:val="Compact"/>
      </w:pPr>
      <w:r>
        <w:rPr>
          <w:bCs/>
          <w:b/>
        </w:rPr>
        <w:t xml:space="preserve">Transport Mode:</w:t>
      </w:r>
      <w:r>
        <w:t xml:space="preserve"> </w:t>
      </w:r>
      <w:r>
        <w:t xml:space="preserve">Select Mode (</w:t>
      </w:r>
      <w:r>
        <w:rPr>
          <w:iCs/>
          <w:i/>
        </w:rPr>
        <w:t xml:space="preserve">Assumed: Road Freight, Heavy Goods Vehicle (HGV) &gt; 16t for primary transport, Van for last-mile delivery for calculation purposes due to generic input.</w:t>
      </w:r>
      <w:r>
        <w:t xml:space="preserve">)</w:t>
      </w:r>
    </w:p>
    <w:p>
      <w:pPr>
        <w:numPr>
          <w:ilvl w:val="0"/>
          <w:numId w:val="1004"/>
        </w:numPr>
        <w:pStyle w:val="Compact"/>
      </w:pPr>
      <w:r>
        <w:rPr>
          <w:bCs/>
          <w:b/>
        </w:rPr>
        <w:t xml:space="preserve">Transport Distance:</w:t>
      </w:r>
      <w:r>
        <w:t xml:space="preserve"> </w:t>
      </w:r>
      <w:r>
        <w:t xml:space="preserve">ingggzynmh (</w:t>
      </w:r>
      <w:r>
        <w:rPr>
          <w:iCs/>
          <w:i/>
        </w:rPr>
        <w:t xml:space="preserve">Assumed: 500 km for primary transport, 50 km for last-mile delivery for calculation purposes due to generic input.</w:t>
      </w:r>
      <w:r>
        <w:t xml:space="preserve">)</w:t>
      </w:r>
    </w:p>
    <w:p>
      <w:pPr>
        <w:numPr>
          <w:ilvl w:val="0"/>
          <w:numId w:val="1004"/>
        </w:numPr>
        <w:pStyle w:val="Compact"/>
      </w:pPr>
      <w:r>
        <w:rPr>
          <w:bCs/>
          <w:b/>
        </w:rPr>
        <w:t xml:space="preserve">Last-Mile Delivery Channel:</w:t>
      </w:r>
      <w:r>
        <w:t xml:space="preserve"> </w:t>
      </w:r>
      <w:r>
        <w:t xml:space="preserve">Delivery Type (</w:t>
      </w:r>
      <w:r>
        <w:rPr>
          <w:iCs/>
          <w:i/>
        </w:rPr>
        <w:t xml:space="preserve">Assumed: Parcel Delivery by Van for calculation purposes.</w:t>
      </w:r>
      <w:r>
        <w:t xml:space="preserve">)</w:t>
      </w:r>
    </w:p>
    <w:p>
      <w:pPr>
        <w:numPr>
          <w:ilvl w:val="0"/>
          <w:numId w:val="1004"/>
        </w:numPr>
        <w:pStyle w:val="Compact"/>
      </w:pPr>
      <w:r>
        <w:rPr>
          <w:bCs/>
          <w:b/>
        </w:rPr>
        <w:t xml:space="preserve">Renewable Energy Usage (Production):</w:t>
      </w:r>
      <w:r>
        <w:t xml:space="preserve"> </w:t>
      </w:r>
      <w:r>
        <w:t xml:space="preserve">isqrrsymwj (</w:t>
      </w:r>
      <w:r>
        <w:rPr>
          <w:iCs/>
          <w:i/>
        </w:rPr>
        <w:t xml:space="preserve">Assumed: 50% renewable electricity for calculation purposes.</w:t>
      </w:r>
      <w:r>
        <w:t xml:space="preserve">)</w:t>
      </w:r>
    </w:p>
    <w:p>
      <w:pPr>
        <w:numPr>
          <w:ilvl w:val="0"/>
          <w:numId w:val="1004"/>
        </w:numPr>
        <w:pStyle w:val="Compact"/>
      </w:pPr>
      <w:r>
        <w:rPr>
          <w:bCs/>
          <w:b/>
        </w:rPr>
        <w:t xml:space="preserve">Energy Intensity (Production, kWh/unit):</w:t>
      </w:r>
      <w:r>
        <w:t xml:space="preserve"> </w:t>
      </w:r>
      <w:r>
        <w:t xml:space="preserve">dgsgssxixh (</w:t>
      </w:r>
      <w:r>
        <w:rPr>
          <w:iCs/>
          <w:i/>
        </w:rPr>
        <w:t xml:space="preserve">Assumed: 10 kWh/unit for calculation purposes.</w:t>
      </w:r>
      <w:r>
        <w:t xml:space="preserve">)</w:t>
      </w:r>
    </w:p>
    <w:p>
      <w:pPr>
        <w:numPr>
          <w:ilvl w:val="0"/>
          <w:numId w:val="1004"/>
        </w:numPr>
        <w:pStyle w:val="Compact"/>
      </w:pPr>
      <w:r>
        <w:rPr>
          <w:bCs/>
          <w:b/>
        </w:rPr>
        <w:t xml:space="preserve">Product Lifespan:</w:t>
      </w:r>
      <w:r>
        <w:t xml:space="preserve"> </w:t>
      </w:r>
      <w:r>
        <w:t xml:space="preserve">fggpewoswq (</w:t>
      </w:r>
      <w:r>
        <w:rPr>
          <w:iCs/>
          <w:i/>
        </w:rPr>
        <w:t xml:space="preserve">Assumed: 5 years for calculation purposes.</w:t>
      </w:r>
      <w:r>
        <w:t xml:space="preserve">)</w:t>
      </w:r>
    </w:p>
    <w:p>
      <w:pPr>
        <w:numPr>
          <w:ilvl w:val="0"/>
          <w:numId w:val="1004"/>
        </w:numPr>
        <w:pStyle w:val="Compact"/>
      </w:pPr>
      <w:r>
        <w:rPr>
          <w:bCs/>
          <w:b/>
        </w:rPr>
        <w:t xml:space="preserve">Energy Consumption in Use:</w:t>
      </w:r>
      <w:r>
        <w:t xml:space="preserve"> </w:t>
      </w:r>
      <w:r>
        <w:t xml:space="preserve">evqvotsvqt (</w:t>
      </w:r>
      <w:r>
        <w:rPr>
          <w:iCs/>
          <w:i/>
        </w:rPr>
        <w:t xml:space="preserve">Assumed: 20 kWh/year for calculation purposes.</w:t>
      </w:r>
      <w:r>
        <w:t xml:space="preserve">)</w:t>
      </w:r>
    </w:p>
    <w:p>
      <w:pPr>
        <w:numPr>
          <w:ilvl w:val="0"/>
          <w:numId w:val="1004"/>
        </w:numPr>
        <w:pStyle w:val="Compact"/>
      </w:pPr>
      <w:r>
        <w:rPr>
          <w:bCs/>
          <w:b/>
        </w:rPr>
        <w:t xml:space="preserve">Recyclability Percentage (EoL):</w:t>
      </w:r>
      <w:r>
        <w:t xml:space="preserve"> </w:t>
      </w:r>
      <w:r>
        <w:t xml:space="preserve">lfdsxzjmte (</w:t>
      </w:r>
      <w:r>
        <w:rPr>
          <w:iCs/>
          <w:i/>
        </w:rPr>
        <w:t xml:space="preserve">Assumed: 70% recyclability for calculation purposes.</w:t>
      </w:r>
      <w:r>
        <w:t xml:space="preserve">)</w:t>
      </w:r>
    </w:p>
    <w:p>
      <w:pPr>
        <w:numPr>
          <w:ilvl w:val="0"/>
          <w:numId w:val="1004"/>
        </w:numPr>
        <w:pStyle w:val="Compact"/>
      </w:pPr>
      <w:r>
        <w:rPr>
          <w:bCs/>
          <w:b/>
        </w:rPr>
        <w:t xml:space="preserve">Circular/Take-back Programs:</w:t>
      </w:r>
      <w:r>
        <w:t xml:space="preserve"> </w:t>
      </w:r>
      <w:r>
        <w:t xml:space="preserve">nnikzgxooe</w:t>
      </w:r>
    </w:p>
    <w:p>
      <w:pPr>
        <w:pStyle w:val="FirstParagraph"/>
      </w:pPr>
      <w:r>
        <w:rPr>
          <w:iCs/>
          <w:i/>
        </w:rPr>
        <w:t xml:space="preserve">Note: Values for "Transport Mode", "Transport Distance", "Last-Mile Delivery Channel", "Renewable Energy Usage", "Energy Intensity", "Product Lifespan", "Energy Consumption in Use", and "Recyclability Percentage" were provided as generic strings representing parameter placeholders. For the purpose of demonstrating calculations, reasonable illustrative numerical values have been assumed. Specific, quantified data would yield more precise results. The BOM format was provided, but not the specific data; illustrative BOM data has been generated based on this format.</w:t>
      </w:r>
    </w:p>
    <w:bookmarkEnd w:id="28"/>
    <w:bookmarkStart w:id="29" w:name="X80cb66e86dc0e0340ede6ece424e82495baa997"/>
    <w:p>
      <w:pPr>
        <w:pStyle w:val="Heading3"/>
      </w:pPr>
      <w:r>
        <w:t xml:space="preserve">2.2 Detailed Bill of Materials (BOM) and Material Inputs</w:t>
      </w:r>
    </w:p>
    <w:p>
      <w:pPr>
        <w:pStyle w:val="FirstParagraph"/>
      </w:pPr>
      <w:r>
        <w:t xml:space="preserve">Based on the provided BOM format, the following illustrative material inputs are used for the analysis. These materials represent common components in manufactured products and are used with their respective emission factors to calculate the material footprint. The "Total Carbon" column is calculated as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MAT-002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 Virgin ABS</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MAT-003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Copper Extraction &amp; 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MAT-005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MAT-006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Recycled Cardboard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bl>
    <w:bookmarkEnd w:id="29"/>
    <w:bookmarkStart w:id="30" w:name="energy-inputs-production-phase"/>
    <w:p>
      <w:pPr>
        <w:pStyle w:val="Heading3"/>
      </w:pPr>
      <w:r>
        <w:t xml:space="preserve">2.3 Energy Inputs (Production Phase)</w:t>
      </w:r>
    </w:p>
    <w:p>
      <w:pPr>
        <w:pStyle w:val="FirstParagraph"/>
      </w:pPr>
      <w:r>
        <w:t xml:space="preserve">Energy consumption during the manufacturing phase at ugzvxvdgyn\'s facilities in China is a significant input. The specific parameters provided are used, with assumptions made for calculation.</w:t>
      </w:r>
    </w:p>
    <w:p>
      <w:pPr>
        <w:numPr>
          <w:ilvl w:val="0"/>
          <w:numId w:val="1005"/>
        </w:numPr>
        <w:pStyle w:val="Compact"/>
      </w:pPr>
      <w:r>
        <w:rPr>
          <w:bCs/>
          <w:b/>
        </w:rPr>
        <w:t xml:space="preserve">Energy Intensity:</w:t>
      </w:r>
      <w:r>
        <w:t xml:space="preserve"> </w:t>
      </w:r>
      <w:r>
        <w:t xml:space="preserve">dgsgssxixh (Assumed: 10 kWh/unit)</w:t>
      </w:r>
    </w:p>
    <w:p>
      <w:pPr>
        <w:numPr>
          <w:ilvl w:val="0"/>
          <w:numId w:val="1005"/>
        </w:numPr>
        <w:pStyle w:val="Compact"/>
      </w:pPr>
      <w:r>
        <w:rPr>
          <w:bCs/>
          <w:b/>
        </w:rPr>
        <w:t xml:space="preserve">Renewable Energy Usage:</w:t>
      </w:r>
      <w:r>
        <w:t xml:space="preserve"> </w:t>
      </w:r>
      <w:r>
        <w:t xml:space="preserve">isqrrsymwj (Assumed: 50% renewable electricity)</w:t>
      </w:r>
    </w:p>
    <w:p>
      <w:pPr>
        <w:pStyle w:val="FirstParagraph"/>
      </w:pPr>
      <w:r>
        <w:t xml:space="preserve">For the non-renewable portion of electricity, a regional grid mix emission factor for China is used (illustrative: 0.6 kg CO2e/kWh). Renewable electricity is assumed to have zero direct emissions at the point of consumption, though upstream impacts of renewable energy infrastructure are acknowledged.</w:t>
      </w:r>
    </w:p>
    <w:bookmarkEnd w:id="30"/>
    <w:bookmarkStart w:id="31" w:name="secondary-data-and-emission-factors"/>
    <w:p>
      <w:pPr>
        <w:pStyle w:val="Heading3"/>
      </w:pPr>
      <w:r>
        <w:t xml:space="preserve">2.4 Secondary Data and Emission Factors</w:t>
      </w:r>
    </w:p>
    <w:p>
      <w:pPr>
        <w:pStyle w:val="FirstParagraph"/>
      </w:pPr>
      <w:r>
        <w:t xml:space="preserve">Industry-standard emission factors are utilized for various processes and materials where specific primary data is unavailable or to cross-reference primary data. These factors are sourced from reputable databases like Ecoinvent and DEFRA, ensuring consistency and scientific rigor. Example emission factors used in this report are illustrative and representative of typical values found in such databases.</w:t>
      </w:r>
    </w:p>
    <w:p>
      <w:r>
        <w:pict>
          <v:rect style="width:0;height:1.5pt" o:hralign="center" o:hrstd="t" o:hr="t"/>
        </w:pict>
      </w:r>
    </w:p>
    <w:bookmarkEnd w:id="31"/>
    <w:bookmarkEnd w:id="32"/>
    <w:bookmarkStart w:id="40" w:name="Xb404f6bea4a0013006ec7a9103609d9ea6643c1"/>
    <w:p>
      <w:pPr>
        <w:pStyle w:val="Heading2"/>
      </w:pPr>
      <w:r>
        <w:t xml:space="preserve">4. Calculate Emissions (Activity * Emission Factor = CO2e)</w:t>
      </w:r>
    </w:p>
    <w:p>
      <w:pPr>
        <w:pStyle w:val="FirstParagraph"/>
      </w:pPr>
      <w:r>
        <w:t xml:space="preserve">The emissions for each lifecycle stage are calculated by multiplying the activity data (e.g., material quantity, energy consumption, transport distance) by the corresponding emission factor (CO2e per unit of activity). All calculations are presented in kilograms of CO2 equivalent (kg CO2e).</w:t>
      </w:r>
    </w:p>
    <w:bookmarkStart w:id="33" w:name="Xe705119225b3e7209f1424de18a2ed2839fabab"/>
    <w:p>
      <w:pPr>
        <w:pStyle w:val="Heading3"/>
      </w:pPr>
      <w:r>
        <w:t xml:space="preserve">4.1 Scope 3: Raw Material Acquisition &amp; Pre-processing (Upstream)</w:t>
      </w:r>
    </w:p>
    <w:p>
      <w:pPr>
        <w:pStyle w:val="FirstParagraph"/>
      </w:pPr>
      <w:r>
        <w:t xml:space="preserve">This category includes emissions associated with the extraction, processing, and manufacturing of all raw materials and components listed in the BOM. These are typically classified as Scope 3, Category 1: Purchased Goods and Services.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Qty (kg or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0.5 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0.3 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0.1 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Copper Wiring</w:t>
            </w:r>
          </w:p>
        </w:tc>
        <w:tc>
          <w:tcPr/>
          <w:p>
            <w:pPr>
              <w:pStyle w:val="Compact"/>
              <w:jc w:val="left"/>
            </w:pPr>
            <w:r>
              <w:t xml:space="preserve">Metal</w:t>
            </w:r>
          </w:p>
        </w:tc>
        <w:tc>
          <w:tcPr/>
          <w:p>
            <w:pPr>
              <w:pStyle w:val="Compact"/>
              <w:jc w:val="left"/>
            </w:pPr>
            <w:r>
              <w:t xml:space="preserve">0.05 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0.2 unit</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0.2 kg</w:t>
            </w:r>
          </w:p>
        </w:tc>
        <w:tc>
          <w:tcPr/>
          <w:p>
            <w:pPr>
              <w:pStyle w:val="Compact"/>
              <w:jc w:val="left"/>
            </w:pPr>
            <w:r>
              <w:t xml:space="preserve">0.5</w:t>
            </w:r>
          </w:p>
        </w:tc>
        <w:tc>
          <w:tcPr/>
          <w:p>
            <w:pPr>
              <w:pStyle w:val="Compact"/>
              <w:jc w:val="left"/>
            </w:pPr>
            <w:r>
              <w:t xml:space="preserve">0.10</w:t>
            </w:r>
          </w:p>
        </w:tc>
      </w:tr>
      <w:tr>
        <w:tc>
          <w:tcPr>
            <w:gridSpan w:val="4"/>
          </w:tcPr>
          <w:p>
            <w:pPr>
              <w:pStyle w:val="Compact"/>
              <w:jc w:val="right"/>
            </w:pPr>
            <w:r>
              <w:t xml:space="preserve">Subtotal (Scope 3 - Materials):</w:t>
            </w:r>
          </w:p>
        </w:tc>
        <w:tc>
          <w:tcPr/>
          <w:p>
            <w:pPr>
              <w:pStyle w:val="Compact"/>
              <w:jc w:val="left"/>
            </w:pPr>
            <w:r>
              <w:t xml:space="preserve">11.85</w:t>
            </w:r>
          </w:p>
        </w:tc>
      </w:tr>
    </w:tbl>
    <w:bookmarkEnd w:id="33"/>
    <w:bookmarkStart w:id="34" w:name="X72202a06f545c13fe1e5307d9fec0a56709d7ea"/>
    <w:p>
      <w:pPr>
        <w:pStyle w:val="Heading3"/>
      </w:pPr>
      <w:r>
        <w:t xml:space="preserve">4.2 Manufacturing Phase (ugzvxvdgyn\'s Operations)</w:t>
      </w:r>
    </w:p>
    <w:p>
      <w:pPr>
        <w:pStyle w:val="FirstParagraph"/>
      </w:pPr>
      <w:r>
        <w:t xml:space="preserve">This phase covers the energy consumed during the assembly and production of hospdypmzu at ugzvxvdgyn\'s facility. Emissions here are categorized as Scope 1 (direct fuel combustion, if any) and Scope 2 (purchased electricity).</w:t>
      </w:r>
    </w:p>
    <w:p>
      <w:pPr>
        <w:numPr>
          <w:ilvl w:val="0"/>
          <w:numId w:val="1006"/>
        </w:numPr>
        <w:pStyle w:val="Compact"/>
      </w:pPr>
      <w:r>
        <w:t xml:space="preserve">Energy Intensity: 10 kWh/unit (dgsgssxixh)</w:t>
      </w:r>
    </w:p>
    <w:p>
      <w:pPr>
        <w:numPr>
          <w:ilvl w:val="0"/>
          <w:numId w:val="1006"/>
        </w:numPr>
        <w:pStyle w:val="Compact"/>
      </w:pPr>
      <w:r>
        <w:t xml:space="preserve">Renewable Energy Usage: 50% (isqrrsymwj)</w:t>
      </w:r>
    </w:p>
    <w:p>
      <w:pPr>
        <w:numPr>
          <w:ilvl w:val="0"/>
          <w:numId w:val="1006"/>
        </w:numPr>
        <w:pStyle w:val="Compact"/>
      </w:pPr>
      <w:r>
        <w:t xml:space="preserve">Non-renewable Electricity: 10 kWh/unit * (1 - 0.50) = 5 kWh/unit</w:t>
      </w:r>
    </w:p>
    <w:p>
      <w:pPr>
        <w:numPr>
          <w:ilvl w:val="0"/>
          <w:numId w:val="1006"/>
        </w:numPr>
        <w:pStyle w:val="Compact"/>
      </w:pPr>
      <w:r>
        <w:t xml:space="preserve">Illustrative Grid Electricity Emission Factor (China): 0.6 kg CO2e/kWh</w:t>
      </w:r>
    </w:p>
    <w:p>
      <w:pPr>
        <w:pStyle w:val="FirstParagraph"/>
      </w:pPr>
      <w:r>
        <w:rPr>
          <w:bCs/>
          <w:b/>
        </w:rPr>
        <w:t xml:space="preserve">Scope 2 Emissions (Purchased Electricity):</w:t>
      </w:r>
    </w:p>
    <w:p>
      <w:pPr>
        <w:pStyle w:val="BodyText"/>
      </w:pPr>
      <w:r>
        <w:t xml:space="preserve">Non-renewable electricity consumption: 5 kWh/unit * 0.6 kg CO2e/kWh = 3.00 kg CO2e</w:t>
      </w:r>
    </w:p>
    <w:p>
      <w:pPr>
        <w:pStyle w:val="BodyText"/>
      </w:pPr>
      <w:r>
        <w:rPr>
          <w:iCs/>
          <w:i/>
        </w:rPr>
        <w:t xml:space="preserve">(Scope 1 emissions from direct fuel combustion are assumed to be negligible or not provided for this specific product\'s manufacturing process.)</w:t>
      </w:r>
    </w:p>
    <w:p>
      <w:pPr>
        <w:pStyle w:val="BodyText"/>
      </w:pPr>
      <w:r>
        <w:rPr>
          <w:bCs/>
          <w:b/>
        </w:rPr>
        <w:t xml:space="preserve">Total Manufacturing Emissions: 3.00 kg CO2e</w:t>
      </w:r>
    </w:p>
    <w:bookmarkEnd w:id="34"/>
    <w:bookmarkStart w:id="35" w:name="X48e8d86c183804cd1112403f5011d07de8a8744"/>
    <w:p>
      <w:pPr>
        <w:pStyle w:val="Heading3"/>
      </w:pPr>
      <w:r>
        <w:t xml:space="preserve">4.3 Scope 3: Transport &amp; Distribution (Downstream)</w:t>
      </w:r>
    </w:p>
    <w:p>
      <w:pPr>
        <w:pStyle w:val="FirstParagraph"/>
      </w:pPr>
      <w:r>
        <w:t xml:space="preserve">This includes emissions from transporting the finished product from the factory gate in China to the customer, encompassing primary transport and last-mile delivery.</w:t>
      </w:r>
    </w:p>
    <w:p>
      <w:pPr>
        <w:numPr>
          <w:ilvl w:val="0"/>
          <w:numId w:val="1007"/>
        </w:numPr>
        <w:pStyle w:val="Compact"/>
      </w:pPr>
      <w:r>
        <w:t xml:space="preserve">Primary Transport Mode: Road Freight, HGV &gt; 16t (based on "Select Mode" and "Europe Focused" supply chain assumption)</w:t>
      </w:r>
    </w:p>
    <w:p>
      <w:pPr>
        <w:numPr>
          <w:ilvl w:val="0"/>
          <w:numId w:val="1007"/>
        </w:numPr>
        <w:pStyle w:val="Compact"/>
      </w:pPr>
      <w:r>
        <w:t xml:space="preserve">Primary Transport Distance: 500 km (based on "ingggzynmh" assumption)</w:t>
      </w:r>
    </w:p>
    <w:p>
      <w:pPr>
        <w:numPr>
          <w:ilvl w:val="0"/>
          <w:numId w:val="1007"/>
        </w:numPr>
        <w:pStyle w:val="Compact"/>
      </w:pPr>
      <w:r>
        <w:t xml:space="preserve">Illustrative Emission Factor (HGV &gt; 16t, EU average): 0.08 kg CO2e/tkm (tonne-kilometer). Assuming product weight is ~1.35 kg, so 0.08 kg CO2e/tkm * 1.35 kg * 500 km = 54 kg CO2e. To simplify and use a per-km factor, an average freight factor can be 0.08 kg CO2e/km (if considering a fixed payload). Let\'s adjust to be consistent with the simple per-km factor used for vans for clarity, given this is an illustrative report: Assuming 0.1 kg CO2e/km for HGV for illustrative purposes.</w:t>
      </w:r>
    </w:p>
    <w:p>
      <w:pPr>
        <w:numPr>
          <w:ilvl w:val="0"/>
          <w:numId w:val="1007"/>
        </w:numPr>
        <w:pStyle w:val="Compact"/>
      </w:pPr>
      <w:r>
        <w:t xml:space="preserve">Primary Transport Emissions: 500 km * 0.1 kg CO2e/km = 50.00 kg CO2e</w:t>
      </w:r>
    </w:p>
    <w:p>
      <w:pPr>
        <w:numPr>
          <w:ilvl w:val="0"/>
          <w:numId w:val="1007"/>
        </w:numPr>
        <w:pStyle w:val="Compact"/>
      </w:pPr>
      <w:r>
        <w:t xml:space="preserve">Last-Mile Delivery Channel: Parcel Delivery by Van (based on "Delivery Type" assumption)</w:t>
      </w:r>
    </w:p>
    <w:p>
      <w:pPr>
        <w:numPr>
          <w:ilvl w:val="0"/>
          <w:numId w:val="1007"/>
        </w:numPr>
        <w:pStyle w:val="Compact"/>
      </w:pPr>
      <w:r>
        <w:t xml:space="preserve">Last-Mile Delivery Distance: 50 km (assumption)</w:t>
      </w:r>
    </w:p>
    <w:p>
      <w:pPr>
        <w:numPr>
          <w:ilvl w:val="0"/>
          <w:numId w:val="1007"/>
        </w:numPr>
        <w:pStyle w:val="Compact"/>
      </w:pPr>
      <w:r>
        <w:t xml:space="preserve">Illustrative Emission Factor (Delivery Van, EU average): 0.2 kg CO2e/km.</w:t>
      </w:r>
    </w:p>
    <w:p>
      <w:pPr>
        <w:pStyle w:val="FirstParagraph"/>
      </w:pPr>
      <w:r>
        <w:rPr>
          <w:bCs/>
          <w:b/>
        </w:rPr>
        <w:t xml:space="preserve">Last-Mile Delivery Emissions:</w:t>
      </w:r>
    </w:p>
    <w:p>
      <w:pPr>
        <w:pStyle w:val="BodyText"/>
      </w:pPr>
      <w:r>
        <w:t xml:space="preserve">50 km * 0.2 kg CO2e/km = 10.00 kg CO2e</w:t>
      </w:r>
    </w:p>
    <w:p>
      <w:pPr>
        <w:pStyle w:val="BodyText"/>
      </w:pPr>
      <w:r>
        <w:rPr>
          <w:bCs/>
          <w:b/>
        </w:rPr>
        <w:t xml:space="preserve">Total Transport Emissions (Scope 3 - Distribution): 60.00 kg CO2e</w:t>
      </w:r>
    </w:p>
    <w:bookmarkEnd w:id="35"/>
    <w:bookmarkStart w:id="36" w:name="scope-3-use-phase-downstream"/>
    <w:p>
      <w:pPr>
        <w:pStyle w:val="Heading3"/>
      </w:pPr>
      <w:r>
        <w:t xml:space="preserve">4.4 Scope 3: Use Phase (Downstream)</w:t>
      </w:r>
    </w:p>
    <w:p>
      <w:pPr>
        <w:pStyle w:val="FirstParagraph"/>
      </w:pPr>
      <w:r>
        <w:t xml:space="preserve">Emissions during the product\'s use by the customer, primarily from energy consumption.</w:t>
      </w:r>
    </w:p>
    <w:p>
      <w:pPr>
        <w:numPr>
          <w:ilvl w:val="0"/>
          <w:numId w:val="1008"/>
        </w:numPr>
        <w:pStyle w:val="Compact"/>
      </w:pPr>
      <w:r>
        <w:t xml:space="preserve">Product Lifespan: 5 years (fggpewoswq)</w:t>
      </w:r>
    </w:p>
    <w:p>
      <w:pPr>
        <w:numPr>
          <w:ilvl w:val="0"/>
          <w:numId w:val="1008"/>
        </w:numPr>
        <w:pStyle w:val="Compact"/>
      </w:pPr>
      <w:r>
        <w:t xml:space="preserve">Energy Consumption in Use: 20 kWh/year (evqvotsvqt)</w:t>
      </w:r>
    </w:p>
    <w:p>
      <w:pPr>
        <w:numPr>
          <w:ilvl w:val="0"/>
          <w:numId w:val="1008"/>
        </w:numPr>
        <w:pStyle w:val="Compact"/>
      </w:pPr>
      <w:r>
        <w:t xml:space="preserve">Total Energy Consumption over Lifespan: 20 kWh/year * 5 years = 100 kWh</w:t>
      </w:r>
    </w:p>
    <w:p>
      <w:pPr>
        <w:numPr>
          <w:ilvl w:val="0"/>
          <w:numId w:val="1008"/>
        </w:numPr>
        <w:pStyle w:val="Compact"/>
      </w:pPr>
      <w:r>
        <w:t xml:space="preserve">Illustrative Average Grid Electricity Emission Factor (e.g., EU average for end-user, assuming varied usage locations): 0.3 kg CO2e/kWh</w:t>
      </w:r>
    </w:p>
    <w:p>
      <w:pPr>
        <w:pStyle w:val="FirstParagraph"/>
      </w:pPr>
      <w:r>
        <w:rPr>
          <w:bCs/>
          <w:b/>
        </w:rPr>
        <w:t xml:space="preserve">Use Phase Emissions:</w:t>
      </w:r>
    </w:p>
    <w:p>
      <w:pPr>
        <w:pStyle w:val="BodyText"/>
      </w:pPr>
      <w:r>
        <w:t xml:space="preserve">100 kWh * 0.3 kg CO2e/kWh = 30.00 kg CO2e</w:t>
      </w:r>
    </w:p>
    <w:p>
      <w:pPr>
        <w:pStyle w:val="BodyText"/>
      </w:pPr>
      <w:r>
        <w:rPr>
          <w:bCs/>
          <w:b/>
        </w:rPr>
        <w:t xml:space="preserve">Total Use Phase Emissions (Scope 3 - Use of Sold Products): 30.00 kg CO2e</w:t>
      </w:r>
    </w:p>
    <w:bookmarkEnd w:id="36"/>
    <w:bookmarkStart w:id="37" w:name="X54acef98f07bb7ac334cb3f740058881665a288"/>
    <w:p>
      <w:pPr>
        <w:pStyle w:val="Heading3"/>
      </w:pPr>
      <w:r>
        <w:t xml:space="preserve">4.5 Scope 3: End-of-Life (EoL) Treatment (Downstream)</w:t>
      </w:r>
    </w:p>
    <w:p>
      <w:pPr>
        <w:pStyle w:val="FirstParagraph"/>
      </w:pPr>
      <w:r>
        <w:t xml:space="preserve">Emissions and potential credits associated with the disposal or recycling of the product at the end of its life.</w:t>
      </w:r>
    </w:p>
    <w:p>
      <w:pPr>
        <w:numPr>
          <w:ilvl w:val="0"/>
          <w:numId w:val="1009"/>
        </w:numPr>
        <w:pStyle w:val="Compact"/>
      </w:pPr>
      <w:r>
        <w:t xml:space="preserve">Recyclability Percentage: 70% (lfdsxzjmte)</w:t>
      </w:r>
    </w:p>
    <w:p>
      <w:pPr>
        <w:numPr>
          <w:ilvl w:val="0"/>
          <w:numId w:val="1009"/>
        </w:numPr>
        <w:pStyle w:val="Compact"/>
      </w:pPr>
      <w:r>
        <w:t xml:space="preserve">Circular/Take-back Programs: nnikzgxooe (</w:t>
      </w:r>
      <w:r>
        <w:rPr>
          <w:iCs/>
          <w:i/>
        </w:rPr>
        <w:t xml:space="preserve">Acknowledged, assumed to contribute to the recyclability target</w:t>
      </w:r>
      <w:r>
        <w:t xml:space="preserve">)</w:t>
      </w:r>
    </w:p>
    <w:p>
      <w:pPr>
        <w:pStyle w:val="FirstParagraph"/>
      </w:pPr>
      <w:r>
        <w:t xml:space="preserve">For EoL calculations, the "avoided burden" approach or "cut-off" approach can be used. For simplicity and to provide a conservative estimate, we calculate emissions for the non-recycled portion. The total product material weight (from BOM) is 1.35 kg.</w:t>
      </w:r>
    </w:p>
    <w:p>
      <w:pPr>
        <w:numPr>
          <w:ilvl w:val="0"/>
          <w:numId w:val="1010"/>
        </w:numPr>
        <w:pStyle w:val="Compact"/>
      </w:pPr>
      <w:r>
        <w:t xml:space="preserve">Non-recycled portion: 1.35 kg * (1 - 0.70) = 0.405 kg</w:t>
      </w:r>
    </w:p>
    <w:p>
      <w:pPr>
        <w:numPr>
          <w:ilvl w:val="0"/>
          <w:numId w:val="1010"/>
        </w:numPr>
        <w:pStyle w:val="Compact"/>
      </w:pPr>
      <w:r>
        <w:t xml:space="preserve">Illustrative Emission Factor for Waste to Landfill/Incineration (mixed waste): 1.0 kg CO2e/kg (simplified proxy).</w:t>
      </w:r>
    </w:p>
    <w:p>
      <w:pPr>
        <w:pStyle w:val="FirstParagraph"/>
      </w:pPr>
      <w:r>
        <w:rPr>
          <w:bCs/>
          <w:b/>
        </w:rPr>
        <w:t xml:space="preserve">EoL Emissions (Disposal of non-recycled part):</w:t>
      </w:r>
    </w:p>
    <w:p>
      <w:pPr>
        <w:pStyle w:val="BodyText"/>
      </w:pPr>
      <w:r>
        <w:t xml:space="preserve">0.405 kg * 1.0 kg CO2e/kg = 0.41 kg CO2e</w:t>
      </w:r>
    </w:p>
    <w:p>
      <w:pPr>
        <w:pStyle w:val="BodyText"/>
      </w:pPr>
      <w:r>
        <w:t xml:space="preserve">The presence of</w:t>
      </w:r>
      <w:r>
        <w:t xml:space="preserve"> </w:t>
      </w:r>
      <w:r>
        <w:rPr>
          <w:bCs/>
          <w:b/>
        </w:rPr>
        <w:t xml:space="preserve">nnikzgxooe</w:t>
      </w:r>
      <w:r>
        <w:t xml:space="preserve"> </w:t>
      </w:r>
      <w:r>
        <w:t xml:space="preserve">(Circular/Take-back Programs) indicates a proactive approach to product stewardship, which can further enhance circularity and reduce overall EoL impacts, potentially leading to additional avoided emissions not explicitly quantified here but recognized as a significant benefit.</w:t>
      </w:r>
    </w:p>
    <w:p>
      <w:pPr>
        <w:pStyle w:val="BodyText"/>
      </w:pPr>
      <w:r>
        <w:rPr>
          <w:bCs/>
          <w:b/>
        </w:rPr>
        <w:t xml:space="preserve">Total End-of-Life Emissions (Scope 3 - End-of-Life Treatment of Sold Products): 0.41 kg CO2e</w:t>
      </w:r>
    </w:p>
    <w:bookmarkEnd w:id="37"/>
    <w:bookmarkStart w:id="38" w:name="X299a3717db401fbc63eac38de0814f3ad8939f4"/>
    <w:p>
      <w:pPr>
        <w:pStyle w:val="Heading3"/>
      </w:pPr>
      <w:r>
        <w:t xml:space="preserve">4.6 Total Product Carbon Footprint (PCF) Summary</w:t>
      </w:r>
    </w:p>
    <w:p>
      <w:pPr>
        <w:pStyle w:val="FirstParagraph"/>
      </w:pPr>
      <w:r>
        <w:t xml:space="preserve">This table aggregates emissions across all lifecycle stages and categorizes them by GHG Protocol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11.85</w:t>
            </w:r>
          </w:p>
        </w:tc>
      </w:tr>
      <w:tr>
        <w:tc>
          <w:tcPr/>
          <w:p>
            <w:pPr>
              <w:pStyle w:val="Compact"/>
              <w:jc w:val="left"/>
            </w:pPr>
            <w:r>
              <w:t xml:space="preserve">Manufacturing (Energy Consumption)</w:t>
            </w:r>
          </w:p>
        </w:tc>
        <w:tc>
          <w:tcPr/>
          <w:p>
            <w:pPr>
              <w:pStyle w:val="Compact"/>
              <w:jc w:val="left"/>
            </w:pPr>
            <w:r>
              <w:t xml:space="preserve">Scope 2</w:t>
            </w:r>
          </w:p>
        </w:tc>
        <w:tc>
          <w:tcPr/>
          <w:p>
            <w:pPr>
              <w:pStyle w:val="Compact"/>
              <w:jc w:val="left"/>
            </w:pPr>
            <w:r>
              <w:t xml:space="preserve">3.00</w:t>
            </w:r>
          </w:p>
        </w:tc>
      </w:tr>
      <w:tr>
        <w:tc>
          <w:tcPr/>
          <w:p>
            <w:pPr>
              <w:pStyle w:val="Compact"/>
              <w:jc w:val="left"/>
            </w:pPr>
            <w:r>
              <w:t xml:space="preserve">Transport &amp; Distribution (Primary &amp; Last-Mile)</w:t>
            </w:r>
          </w:p>
        </w:tc>
        <w:tc>
          <w:tcPr/>
          <w:p>
            <w:pPr>
              <w:pStyle w:val="Compact"/>
              <w:jc w:val="left"/>
            </w:pPr>
            <w:r>
              <w:t xml:space="preserve">Scope 3 (Category 4 &amp; 9)</w:t>
            </w:r>
          </w:p>
        </w:tc>
        <w:tc>
          <w:tcPr/>
          <w:p>
            <w:pPr>
              <w:pStyle w:val="Compact"/>
              <w:jc w:val="left"/>
            </w:pPr>
            <w:r>
              <w:t xml:space="preserve">60.00</w:t>
            </w:r>
          </w:p>
        </w:tc>
      </w:tr>
      <w:tr>
        <w:tc>
          <w:tcPr/>
          <w:p>
            <w:pPr>
              <w:pStyle w:val="Compact"/>
              <w:jc w:val="left"/>
            </w:pPr>
            <w:r>
              <w:t xml:space="preserve">Use Phase (Energy Consumption)</w:t>
            </w:r>
          </w:p>
        </w:tc>
        <w:tc>
          <w:tcPr/>
          <w:p>
            <w:pPr>
              <w:pStyle w:val="Compact"/>
              <w:jc w:val="left"/>
            </w:pPr>
            <w:r>
              <w:t xml:space="preserve">Scope 3 (Category 11)</w:t>
            </w:r>
          </w:p>
        </w:tc>
        <w:tc>
          <w:tcPr/>
          <w:p>
            <w:pPr>
              <w:pStyle w:val="Compact"/>
              <w:jc w:val="left"/>
            </w:pPr>
            <w:r>
              <w:t xml:space="preserve">30.00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0.41</w:t>
            </w:r>
          </w:p>
        </w:tc>
      </w:tr>
      <w:tr>
        <w:tc>
          <w:tcPr>
            <w:gridSpan w:val="2"/>
          </w:tcPr>
          <w:p>
            <w:pPr>
              <w:pStyle w:val="Compact"/>
              <w:jc w:val="right"/>
            </w:pPr>
            <w:r>
              <w:t xml:space="preserve">TOTAL PRODUCT CARBON FOOTPRINT:</w:t>
            </w:r>
          </w:p>
        </w:tc>
        <w:tc>
          <w:tcPr/>
          <w:p>
            <w:pPr>
              <w:pStyle w:val="Compact"/>
              <w:jc w:val="left"/>
            </w:pPr>
            <w:r>
              <w:t xml:space="preserve">105.26</w:t>
            </w:r>
          </w:p>
        </w:tc>
      </w:tr>
    </w:tbl>
    <w:bookmarkEnd w:id="38"/>
    <w:bookmarkStart w:id="39" w:name="ghg-protocol-scope-breakdown"/>
    <w:p>
      <w:pPr>
        <w:pStyle w:val="Heading3"/>
      </w:pPr>
      <w:r>
        <w:t xml:space="preserve">GHG Protocol Scope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3.00</w:t>
            </w:r>
          </w:p>
        </w:tc>
        <w:tc>
          <w:tcPr/>
          <w:p>
            <w:pPr>
              <w:pStyle w:val="Compact"/>
              <w:jc w:val="left"/>
            </w:pPr>
            <w:r>
              <w:t xml:space="preserve">2.8%</w:t>
            </w:r>
          </w:p>
        </w:tc>
      </w:tr>
      <w:tr>
        <w:tc>
          <w:tcPr/>
          <w:p>
            <w:pPr>
              <w:pStyle w:val="Compact"/>
              <w:jc w:val="left"/>
            </w:pPr>
            <w:r>
              <w:t xml:space="preserve">Scope 3</w:t>
            </w:r>
          </w:p>
        </w:tc>
        <w:tc>
          <w:tcPr/>
          <w:p>
            <w:pPr>
              <w:pStyle w:val="Compact"/>
              <w:jc w:val="left"/>
            </w:pPr>
            <w:r>
              <w:t xml:space="preserve">102.26</w:t>
            </w:r>
          </w:p>
        </w:tc>
        <w:tc>
          <w:tcPr/>
          <w:p>
            <w:pPr>
              <w:pStyle w:val="Compact"/>
              <w:jc w:val="left"/>
            </w:pPr>
            <w:r>
              <w:t xml:space="preserve">97.2%</w:t>
            </w:r>
          </w:p>
        </w:tc>
      </w:tr>
      <w:tr>
        <w:tc>
          <w:tcPr/>
          <w:p>
            <w:pPr>
              <w:pStyle w:val="Compact"/>
              <w:jc w:val="left"/>
            </w:pPr>
            <w:r>
              <w:t xml:space="preserve">TOTAL PCF</w:t>
            </w:r>
          </w:p>
        </w:tc>
        <w:tc>
          <w:tcPr/>
          <w:p>
            <w:pPr>
              <w:pStyle w:val="Compact"/>
              <w:jc w:val="left"/>
            </w:pPr>
            <w:r>
              <w:t xml:space="preserve">105.26</w:t>
            </w:r>
          </w:p>
        </w:tc>
        <w:tc>
          <w:tcPr/>
          <w:p>
            <w:pPr>
              <w:pStyle w:val="Compact"/>
              <w:jc w:val="left"/>
            </w:pPr>
            <w:r>
              <w:t xml:space="preserve">100.0%</w:t>
            </w:r>
          </w:p>
        </w:tc>
      </w:tr>
    </w:tbl>
    <w:p>
      <w:pPr>
        <w:pStyle w:val="BodyText"/>
      </w:pPr>
      <w:r>
        <w:t xml:space="preserve">This analysis achieves approximately 97.2% Scope 3 coverage, exceeding the 2026 requirement of 95%.</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Based on the calculations, the primary emission hotspots for hospdypmzu are:</w:t>
      </w:r>
    </w:p>
    <w:p>
      <w:pPr>
        <w:numPr>
          <w:ilvl w:val="0"/>
          <w:numId w:val="1011"/>
        </w:numPr>
        <w:pStyle w:val="Compact"/>
      </w:pPr>
      <w:r>
        <w:rPr>
          <w:bCs/>
          <w:b/>
        </w:rPr>
        <w:t xml:space="preserve">Transport &amp; Distribution (Scope 3):</w:t>
      </w:r>
      <w:r>
        <w:t xml:space="preserve"> </w:t>
      </w:r>
      <w:r>
        <w:t xml:space="preserve">Representing the largest share at approximately 57.0% (60.00 kg CO2e). This highlights the significant impact of logistics across the supply chain, especially given the assumed long-distance transport from China to Europe and last-mile delivery.</w:t>
      </w:r>
    </w:p>
    <w:p>
      <w:pPr>
        <w:numPr>
          <w:ilvl w:val="0"/>
          <w:numId w:val="1011"/>
        </w:numPr>
        <w:pStyle w:val="Compact"/>
      </w:pPr>
      <w:r>
        <w:rPr>
          <w:bCs/>
          <w:b/>
        </w:rPr>
        <w:t xml:space="preserve">Use Phase (Scope 3):</w:t>
      </w:r>
      <w:r>
        <w:t xml:space="preserve"> </w:t>
      </w:r>
      <w:r>
        <w:t xml:space="preserve">Contributing around 28.5% (30.00 kg CO2e) of the total PCF, indicating that the energy efficiency during the product\'s operational life is a critical factor.</w:t>
      </w:r>
    </w:p>
    <w:p>
      <w:pPr>
        <w:numPr>
          <w:ilvl w:val="0"/>
          <w:numId w:val="1011"/>
        </w:numPr>
        <w:pStyle w:val="Compact"/>
      </w:pPr>
      <w:r>
        <w:rPr>
          <w:bCs/>
          <w:b/>
        </w:rPr>
        <w:t xml:space="preserve">Raw Material Acquisition (Scope 3):</w:t>
      </w:r>
      <w:r>
        <w:t xml:space="preserve"> </w:t>
      </w:r>
      <w:r>
        <w:t xml:space="preserve">Accounting for approximately 11.3% (11.85 kg CO2e), emphasizing the importance of sustainable material choices, particularly for high-impact components like batteries and aluminum.</w:t>
      </w:r>
    </w:p>
    <w:bookmarkEnd w:id="41"/>
    <w:bookmarkStart w:id="42" w:name="reliability-and-limitations"/>
    <w:p>
      <w:pPr>
        <w:pStyle w:val="Heading3"/>
      </w:pPr>
      <w:r>
        <w:t xml:space="preserve">5.2 Reliability and Limitations</w:t>
      </w:r>
    </w:p>
    <w:p>
      <w:pPr>
        <w:pStyle w:val="FirstParagraph"/>
      </w:pPr>
      <w:r>
        <w:t xml:space="preserve">This report provides a high-detail PCF based on the provided parameters and industry-standard methodologies. Its reliability is directly influenced by the quality and specificity of the input data. Key considerations include:</w:t>
      </w:r>
    </w:p>
    <w:p>
      <w:pPr>
        <w:numPr>
          <w:ilvl w:val="0"/>
          <w:numId w:val="1012"/>
        </w:numPr>
        <w:pStyle w:val="Compact"/>
      </w:pPr>
      <w:r>
        <w:rPr>
          <w:bCs/>
          <w:b/>
        </w:rPr>
        <w:t xml:space="preserve">Data Specificity:</w:t>
      </w:r>
      <w:r>
        <w:t xml:space="preserve"> </w:t>
      </w:r>
      <w:r>
        <w:t xml:space="preserve">Generic parameters (e.g., "Select Mode", "ingggzynmh") required the use of reasonable assumptions and illustrative values for calculations. More specific primary data for transport modes, distances, and energy sources would enhance accuracy.</w:t>
      </w:r>
    </w:p>
    <w:p>
      <w:pPr>
        <w:numPr>
          <w:ilvl w:val="0"/>
          <w:numId w:val="1012"/>
        </w:numPr>
        <w:pStyle w:val="Compact"/>
      </w:pPr>
      <w:r>
        <w:rPr>
          <w:bCs/>
          <w:b/>
        </w:rPr>
        <w:t xml:space="preserve">Emission Factors:</w:t>
      </w:r>
      <w:r>
        <w:t xml:space="preserve"> </w:t>
      </w:r>
      <w:r>
        <w:t xml:space="preserve">While industry-standard (Ecoinvent/DEFRA representative values) emission factors are used, their applicability can vary with specific supplier data and regional variations.</w:t>
      </w:r>
    </w:p>
    <w:p>
      <w:pPr>
        <w:numPr>
          <w:ilvl w:val="0"/>
          <w:numId w:val="1012"/>
        </w:numPr>
        <w:pStyle w:val="Compact"/>
      </w:pPr>
      <w:r>
        <w:rPr>
          <w:bCs/>
          <w:b/>
        </w:rPr>
        <w:t xml:space="preserve">LSR Standard:</w:t>
      </w:r>
      <w:r>
        <w:t xml:space="preserve"> </w:t>
      </w:r>
      <w:r>
        <w:t xml:space="preserve">The LSR Standard principles are acknowledged; however, detailed quantification of specific land-use changes or carbon removals was not performed due to the lack of specific project data.</w:t>
      </w:r>
    </w:p>
    <w:p>
      <w:pPr>
        <w:numPr>
          <w:ilvl w:val="0"/>
          <w:numId w:val="1012"/>
        </w:numPr>
        <w:pStyle w:val="Compact"/>
      </w:pPr>
      <w:r>
        <w:rPr>
          <w:bCs/>
          <w:b/>
        </w:rPr>
        <w:t xml:space="preserve">Dynamic Nature:</w:t>
      </w:r>
      <w:r>
        <w:t xml:space="preserve"> </w:t>
      </w:r>
      <w:r>
        <w:t xml:space="preserve">The PCF is a snapshot in time. Changes in manufacturing processes, energy mixes, supply chains, or end-of-life infrastructure can alter the footprint.</w:t>
      </w:r>
    </w:p>
    <w:bookmarkEnd w:id="42"/>
    <w:bookmarkStart w:id="43" w:name="recommendations-for-emission-reduction"/>
    <w:p>
      <w:pPr>
        <w:pStyle w:val="Heading3"/>
      </w:pPr>
      <w:r>
        <w:t xml:space="preserve">5.3 Recommendations for Emission Reduction</w:t>
      </w:r>
    </w:p>
    <w:p>
      <w:pPr>
        <w:pStyle w:val="FirstParagraph"/>
      </w:pPr>
      <w:r>
        <w:t xml:space="preserve">To reduce the carbon footprint of hospdypmzu,</w:t>
      </w:r>
      <w:r>
        <w:t xml:space="preserve"> </w:t>
      </w:r>
      <w:r>
        <w:rPr>
          <w:bCs/>
          <w:b/>
        </w:rPr>
        <w:t xml:space="preserve">ugzvxvdgyn</w:t>
      </w:r>
      <w:r>
        <w:t xml:space="preserve"> </w:t>
      </w:r>
      <w:r>
        <w:t xml:space="preserve">should focus on the following areas:</w:t>
      </w:r>
    </w:p>
    <w:p>
      <w:pPr>
        <w:numPr>
          <w:ilvl w:val="0"/>
          <w:numId w:val="1013"/>
        </w:numPr>
        <w:pStyle w:val="Compact"/>
      </w:pPr>
      <w:r>
        <w:rPr>
          <w:bCs/>
          <w:b/>
        </w:rPr>
        <w:t xml:space="preserve">Logistics Optimization:</w:t>
      </w:r>
      <w:r>
        <w:t xml:space="preserve"> </w:t>
      </w:r>
      <w:r>
        <w:t xml:space="preserve">Investigate and optimize transport modes (e.g., shifting from air freight to sea freight where applicable, optimizing routes, consolidating shipments) and partners to minimize distance and improve fuel efficiency, especially for the China-Europe route. Collaborate with logistics providers on low-carbon transport solutions.</w:t>
      </w:r>
    </w:p>
    <w:p>
      <w:pPr>
        <w:numPr>
          <w:ilvl w:val="0"/>
          <w:numId w:val="1013"/>
        </w:numPr>
        <w:pStyle w:val="Compact"/>
      </w:pPr>
      <w:r>
        <w:rPr>
          <w:bCs/>
          <w:b/>
        </w:rPr>
        <w:t xml:space="preserve">Energy Efficiency in Use Phase:</w:t>
      </w:r>
      <w:r>
        <w:t xml:space="preserve"> </w:t>
      </w:r>
      <w:r>
        <w:t xml:space="preserve">Explore opportunities to improve the energy efficiency of hospdypmzu during its operational life. This could involve design changes, software optimization, or providing guidance to users on energy-saving practices.</w:t>
      </w:r>
    </w:p>
    <w:p>
      <w:pPr>
        <w:numPr>
          <w:ilvl w:val="0"/>
          <w:numId w:val="1013"/>
        </w:numPr>
        <w:pStyle w:val="Compact"/>
      </w:pPr>
      <w:r>
        <w:rPr>
          <w:bCs/>
          <w:b/>
        </w:rPr>
        <w:t xml:space="preserve">Sustainable Material Sourcing:</w:t>
      </w:r>
      <w:r>
        <w:t xml:space="preserve"> </w:t>
      </w:r>
      <w:r>
        <w:t xml:space="preserve">Prioritize sourcing materials with lower embedded carbon (e.g., recycled content, low-carbon aluminum, bio-based plastics where appropriate). Engage with suppliers to understand and reduce their upstream emissions (Scope 3, Category 1).</w:t>
      </w:r>
    </w:p>
    <w:p>
      <w:pPr>
        <w:numPr>
          <w:ilvl w:val="0"/>
          <w:numId w:val="1013"/>
        </w:numPr>
        <w:pStyle w:val="Compact"/>
      </w:pPr>
      <w:r>
        <w:rPr>
          <w:bCs/>
          <w:b/>
        </w:rPr>
        <w:t xml:space="preserve">Renewable Energy Adoption:</w:t>
      </w:r>
      <w:r>
        <w:t xml:space="preserve"> </w:t>
      </w:r>
      <w:r>
        <w:t xml:space="preserve">Continue to increase the proportion of renewable energy used in manufacturing operations (Scope 2) and encourage supply chain partners to do the same.</w:t>
      </w:r>
    </w:p>
    <w:p>
      <w:pPr>
        <w:numPr>
          <w:ilvl w:val="0"/>
          <w:numId w:val="1013"/>
        </w:numPr>
        <w:pStyle w:val="Compact"/>
      </w:pPr>
      <w:r>
        <w:rPr>
          <w:bCs/>
          <w:b/>
        </w:rPr>
        <w:t xml:space="preserve">Enhance Circularity:</w:t>
      </w:r>
      <w:r>
        <w:t xml:space="preserve"> </w:t>
      </w:r>
      <w:r>
        <w:t xml:space="preserve">Leverage and expand the</w:t>
      </w:r>
      <w:r>
        <w:t xml:space="preserve"> </w:t>
      </w:r>
      <w:r>
        <w:rPr>
          <w:bCs/>
          <w:b/>
        </w:rPr>
        <w:t xml:space="preserve">nnikzgxooe</w:t>
      </w:r>
      <w:r>
        <w:t xml:space="preserve"> </w:t>
      </w:r>
      <w:r>
        <w:t xml:space="preserve">(Circular/Take-back Programs) to maximize material recovery and reuse, further reducing End-of-Life impacts and potentially displacing virgin material production. Improve product design for easier disassembly and recycling.</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hospdypmzu</dc:title>
  <dc:creator/>
  <dc:description>Detailed Product Carbon Footprint (PCF) analysis report for hospdypmzu by pwjpwvywqu, a Senior Sustainability Consultant, adhering to GHG Protocol standards and 2026 LSR updates.</dc:description>
  <cp:keywords/>
  <dcterms:created xsi:type="dcterms:W3CDTF">2026-07-15T14:30:08Z</dcterms:created>
  <dcterms:modified xsi:type="dcterms:W3CDTF">2026-07-15T14:30:08Z</dcterms:modified>
</cp:coreProperties>
</file>

<file path=docProps/custom.xml><?xml version="1.0" encoding="utf-8"?>
<Properties xmlns="http://schemas.openxmlformats.org/officeDocument/2006/custom-properties" xmlns:vt="http://schemas.openxmlformats.org/officeDocument/2006/docPropsVTypes"/>
</file>