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hojjgqlmoi</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hojjgqlmoi</w:t>
      </w:r>
    </w:p>
    <w:p>
      <w:pPr>
        <w:pStyle w:val="BodyText"/>
      </w:pPr>
      <w:r>
        <w:rPr>
          <w:bCs/>
          <w:b/>
        </w:rPr>
        <w:t xml:space="preserve">Company:</w:t>
      </w:r>
      <w:r>
        <w:t xml:space="preserve"> </w:t>
      </w:r>
      <w:r>
        <w:t xml:space="preserve">svwzjpngpk</w:t>
      </w:r>
    </w:p>
    <w:p>
      <w:pPr>
        <w:pStyle w:val="BodyText"/>
      </w:pPr>
      <w:r>
        <w:rPr>
          <w:bCs/>
          <w:b/>
        </w:rPr>
        <w:t xml:space="preserve">Senior Sustainability Consultant:</w:t>
      </w:r>
      <w:r>
        <w:t xml:space="preserve"> </w:t>
      </w:r>
      <w:r>
        <w:t xml:space="preserve">jogkzgnktf</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every effort has been made to ensure accuracy, the calculations are dependent on the completeness and reliability of the input parameters and generic emission factors used where specific data was unavailable.</w:t>
      </w:r>
    </w:p>
    <w:bookmarkEnd w:id="20"/>
    <w:bookmarkStart w:id="49" w:name="Xf2e6ab5be446359d80f42f50d41e46314dfe19d"/>
    <w:p>
      <w:pPr>
        <w:pStyle w:val="Heading1"/>
      </w:pPr>
      <w:r>
        <w:t xml:space="preserve">Product Carbon Footprint (PCF) Analysis Report</w:t>
      </w:r>
    </w:p>
    <w:p>
      <w:pPr>
        <w:pStyle w:val="FirstParagraph"/>
      </w:pPr>
      <w:r>
        <w:rPr>
          <w:bCs/>
          <w:b/>
        </w:rPr>
        <w:t xml:space="preserve">Generated Date:</w:t>
      </w:r>
      <w:r>
        <w:t xml:space="preserve"> </w:t>
      </w:r>
      <w:r>
        <w:t xml:space="preserve">May 26,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 hojjgqlmoi, manufactured by svwzjpngpk. The analysis, conducted by jogkzgnktf, Senior Sustainability Consultant, adheres strictly to the GHG Protocol accounting standard, incorporating the latest 2026 Land Sector and Removals (LSR) update and targeting robust Scope 3 compliance. The total cradle-to-grave carbon footprint for one functional unit of hojjgqlmoi is calculated to be approximately 162.99 kg CO2e. Key hotspots include the product\'s use phase due to energy consumption, followed by the initial material acquisition and manufacturing energy.</w:t>
      </w:r>
    </w:p>
    <w:p>
      <w:r>
        <w:pict>
          <v:rect style="width:0;height:1.5pt" o:hralign="center" o:hrstd="t" o:hr="t"/>
        </w:pict>
      </w:r>
    </w:p>
    <w:bookmarkEnd w:id="21"/>
    <w:bookmarkStart w:id="23" w:name="methodology"/>
    <w:p>
      <w:pPr>
        <w:pStyle w:val="Heading2"/>
      </w:pPr>
      <w:r>
        <w:t xml:space="preserve">2. Methodology</w:t>
      </w:r>
    </w:p>
    <w:p>
      <w:pPr>
        <w:pStyle w:val="FirstParagraph"/>
      </w:pPr>
      <w:r>
        <w:t xml:space="preserve">The Product Carbon Footprint (PCF) analysis for hojjgqlmoi follows a comprehensive five-step methodology in accordance with the GHG Protocol Product Standard:</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 (LCI Inventory Stages):</w:t>
      </w:r>
      <w:r>
        <w:t xml:space="preserve"> </w:t>
      </w:r>
      <w:r>
        <w:t xml:space="preserve">Identify all relevant lifecycle stages from raw material extraction to end-of-life.</w:t>
      </w:r>
    </w:p>
    <w:p>
      <w:pPr>
        <w:numPr>
          <w:ilvl w:val="0"/>
          <w:numId w:val="1001"/>
        </w:numPr>
        <w:pStyle w:val="Compact"/>
      </w:pPr>
      <w:r>
        <w:rPr>
          <w:bCs/>
          <w:b/>
        </w:rPr>
        <w:t xml:space="preserve">Collect Data:</w:t>
      </w:r>
      <w:r>
        <w:t xml:space="preserve"> </w:t>
      </w:r>
      <w:r>
        <w:t xml:space="preserve">Gather primary and secondary data points for material inputs, energy consumption, transport, and end-of-life scenarios.</w:t>
      </w:r>
    </w:p>
    <w:p>
      <w:pPr>
        <w:numPr>
          <w:ilvl w:val="0"/>
          <w:numId w:val="1001"/>
        </w:numPr>
        <w:pStyle w:val="Compact"/>
      </w:pPr>
      <w:r>
        <w:rPr>
          <w:bCs/>
          <w:b/>
        </w:rPr>
        <w:t xml:space="preserve">Calculate Emissions:</w:t>
      </w:r>
      <w:r>
        <w:t xml:space="preserve"> </w:t>
      </w:r>
      <w:r>
        <w:t xml:space="preserve">Quantify greenhouse gas emissions (GHG) by multiplying activity data by appropriate emission factors.</w:t>
      </w:r>
    </w:p>
    <w:p>
      <w:pPr>
        <w:numPr>
          <w:ilvl w:val="0"/>
          <w:numId w:val="1001"/>
        </w:numPr>
        <w:pStyle w:val="Compact"/>
      </w:pPr>
      <w:r>
        <w:rPr>
          <w:bCs/>
          <w:b/>
        </w:rPr>
        <w:t xml:space="preserve">Review &amp; Report:</w:t>
      </w:r>
      <w:r>
        <w:t xml:space="preserve"> </w:t>
      </w:r>
      <w:r>
        <w:t xml:space="preserve">Analyze results, identify hotspots, assess reliability, and present findings.</w:t>
      </w:r>
    </w:p>
    <w:bookmarkStart w:id="22" w:name="accounting-standard-and-compliance"/>
    <w:p>
      <w:pPr>
        <w:pStyle w:val="Heading3"/>
      </w:pPr>
      <w:r>
        <w:t xml:space="preserve">2.1. Accounting Standard and Compliance</w:t>
      </w:r>
    </w:p>
    <w:p>
      <w:pPr>
        <w:pStyle w:val="FirstParagraph"/>
      </w:pPr>
      <w:r>
        <w:t xml:space="preserve">This PCF analysis is conducted in full accordance with the</w:t>
      </w:r>
      <w:r>
        <w:t xml:space="preserve"> </w:t>
      </w:r>
      <w:r>
        <w:rPr>
          <w:bCs/>
          <w:b/>
        </w:rPr>
        <w:t xml:space="preserve">GHG Protocol Product Standard</w:t>
      </w:r>
      <w:r>
        <w:t xml:space="preserve">. Emissions are categorized into Scope 1 (direct emissions), Scope 2 (indirect emissions from purchased energy), and Scope 3 (all other indirect emissions in the value chain).</w:t>
      </w:r>
    </w:p>
    <w:p>
      <w:pPr>
        <w:pStyle w:val="BodyText"/>
      </w:pPr>
      <w:r>
        <w:t xml:space="preserve">The</w:t>
      </w:r>
      <w:r>
        <w:t xml:space="preserve"> </w:t>
      </w:r>
      <w:r>
        <w:rPr>
          <w:bCs/>
          <w:b/>
        </w:rPr>
        <w:t xml:space="preserve">2026 Land Sector and Removals (LSR) Standard</w:t>
      </w:r>
      <w:r>
        <w:t xml:space="preserve"> </w:t>
      </w:r>
      <w:r>
        <w:t xml:space="preserve">has been considered, and its principles are applied where relevant data for land use and carbon removals could be integrated. For the purpose of this report, where specific land-use change data was not provided for raw materials, generic industry assumptions were applied, and the approach is qualitative. The analysis also aims for at least</w:t>
      </w:r>
      <w:r>
        <w:t xml:space="preserve"> </w:t>
      </w:r>
      <w:r>
        <w:rPr>
          <w:bCs/>
          <w:b/>
        </w:rPr>
        <w:t xml:space="preserve">95% coverage for Scope 3 reporting</w:t>
      </w:r>
      <w:r>
        <w:t xml:space="preserve">, aligning with anticipated 2026 requirements, by comprehensively addressing all identified relevant value chain emissions within the defined system boundary.</w:t>
      </w:r>
    </w:p>
    <w:p>
      <w:r>
        <w:pict>
          <v:rect style="width:0;height:1.5pt" o:hralign="center" o:hrstd="t" o:hr="t"/>
        </w:pict>
      </w:r>
    </w:p>
    <w:bookmarkEnd w:id="22"/>
    <w:bookmarkEnd w:id="23"/>
    <w:bookmarkStart w:id="25" w:name="product-and-project-parameters"/>
    <w:p>
      <w:pPr>
        <w:pStyle w:val="Heading2"/>
      </w:pPr>
      <w:r>
        <w:t xml:space="preserve">3. Product and Project Parameters</w:t>
      </w:r>
    </w:p>
    <w:p>
      <w:pPr>
        <w:pStyle w:val="FirstParagraph"/>
      </w:pPr>
      <w:r>
        <w:t xml:space="preserve">The following parameters defined the scope and calculation basis for this PCF analysis:</w:t>
      </w:r>
    </w:p>
    <w:p>
      <w:pPr>
        <w:numPr>
          <w:ilvl w:val="0"/>
          <w:numId w:val="1002"/>
        </w:numPr>
        <w:pStyle w:val="Compact"/>
      </w:pPr>
      <w:r>
        <w:rPr>
          <w:bCs/>
          <w:b/>
        </w:rPr>
        <w:t xml:space="preserve">Company Name:</w:t>
      </w:r>
      <w:r>
        <w:t xml:space="preserve"> </w:t>
      </w:r>
      <w:r>
        <w:t xml:space="preserve">svwzjpngpk</w:t>
      </w:r>
    </w:p>
    <w:p>
      <w:pPr>
        <w:numPr>
          <w:ilvl w:val="0"/>
          <w:numId w:val="1002"/>
        </w:numPr>
        <w:pStyle w:val="Compact"/>
      </w:pPr>
      <w:r>
        <w:rPr>
          <w:bCs/>
          <w:b/>
        </w:rPr>
        <w:t xml:space="preserve">Senior Sustainability Consultant:</w:t>
      </w:r>
      <w:r>
        <w:t xml:space="preserve"> </w:t>
      </w:r>
      <w:r>
        <w:t xml:space="preserve">jogkzgnktf</w:t>
      </w:r>
    </w:p>
    <w:p>
      <w:pPr>
        <w:numPr>
          <w:ilvl w:val="0"/>
          <w:numId w:val="1002"/>
        </w:numPr>
        <w:pStyle w:val="Compact"/>
      </w:pPr>
      <w:r>
        <w:rPr>
          <w:bCs/>
          <w:b/>
        </w:rPr>
        <w:t xml:space="preserve">Product Name:</w:t>
      </w:r>
      <w:r>
        <w:t xml:space="preserve"> </w:t>
      </w:r>
      <w:r>
        <w:t xml:space="preserve">hojjgqlmoi</w:t>
      </w:r>
    </w:p>
    <w:p>
      <w:pPr>
        <w:numPr>
          <w:ilvl w:val="0"/>
          <w:numId w:val="1002"/>
        </w:numPr>
        <w:pStyle w:val="Compact"/>
      </w:pPr>
      <w:r>
        <w:rPr>
          <w:bCs/>
          <w:b/>
        </w:rPr>
        <w:t xml:space="preserve">Functional Unit:</w:t>
      </w:r>
      <w:r>
        <w:t xml:space="preserve"> </w:t>
      </w:r>
      <w:r>
        <w:t xml:space="preserve">1.0 unit of hojjgqlmoi</w:t>
      </w:r>
    </w:p>
    <w:p>
      <w:pPr>
        <w:numPr>
          <w:ilvl w:val="0"/>
          <w:numId w:val="1002"/>
        </w:numPr>
        <w:pStyle w:val="Compact"/>
      </w:pPr>
      <w:r>
        <w:rPr>
          <w:bCs/>
          <w:b/>
        </w:rPr>
        <w:t xml:space="preserve">System Boundary:</w:t>
      </w:r>
      <w:r>
        <w:t xml:space="preserve"> </w:t>
      </w:r>
      <w:r>
        <w:t xml:space="preserve">Cradle-to-grave, encompassing raw material acquisition, manufacturing, transport, use, and end-of-life stages. Although "factory_gate" was mentioned for the primary production focus, the inclusion of downstream parameters (Use Phase, Last-Mile Delivery, EoL) necessitated a cradle-to-grave approach for comprehensive impact assessment.</w:t>
      </w:r>
    </w:p>
    <w:p>
      <w:pPr>
        <w:numPr>
          <w:ilvl w:val="0"/>
          <w:numId w:val="1002"/>
        </w:numPr>
        <w:pStyle w:val="Compact"/>
      </w:pPr>
      <w:r>
        <w:rPr>
          <w:bCs/>
          <w:b/>
        </w:rPr>
        <w:t xml:space="preserve">Geographic Scope:</w:t>
      </w:r>
      <w:r>
        <w:t xml:space="preserve"> </w:t>
      </w:r>
      <w:r>
        <w:t xml:space="preserve">Final Production Country: China, Supply Chain Focus: Europe Focused (for upstream materials and transport).</w:t>
      </w:r>
    </w:p>
    <w:p>
      <w:pPr>
        <w:numPr>
          <w:ilvl w:val="0"/>
          <w:numId w:val="1002"/>
        </w:numPr>
        <w:pStyle w:val="Compact"/>
      </w:pPr>
      <w:r>
        <w:rPr>
          <w:bCs/>
          <w:b/>
        </w:rPr>
        <w:t xml:space="preserve">Accounting Standard:</w:t>
      </w:r>
      <w:r>
        <w:t xml:space="preserve"> </w:t>
      </w:r>
      <w:r>
        <w:t xml:space="preserve">GHG Protocol</w:t>
      </w:r>
    </w:p>
    <w:p>
      <w:pPr>
        <w:numPr>
          <w:ilvl w:val="0"/>
          <w:numId w:val="1002"/>
        </w:numPr>
        <w:pStyle w:val="Compact"/>
      </w:pPr>
      <w:r>
        <w:rPr>
          <w:bCs/>
          <w:b/>
        </w:rPr>
        <w:t xml:space="preserve">Product Lifespan:</w:t>
      </w:r>
      <w:r>
        <w:t xml:space="preserve"> </w:t>
      </w:r>
      <w:r>
        <w:t xml:space="preserve">7 years</w:t>
      </w:r>
    </w:p>
    <w:bookmarkStart w:id="24" w:name="specific-data-inputs"/>
    <w:p>
      <w:pPr>
        <w:pStyle w:val="Heading3"/>
      </w:pPr>
      <w:r>
        <w:t xml:space="preserve">3.1. Specific Data Inputs</w:t>
      </w:r>
    </w:p>
    <w:p>
      <w:pPr>
        <w:pStyle w:val="FirstParagraph"/>
      </w:pPr>
      <w:r>
        <w:t xml:space="preserve">The following specific data points were incorporated into the analysis:</w:t>
      </w:r>
    </w:p>
    <w:p>
      <w:pPr>
        <w:numPr>
          <w:ilvl w:val="0"/>
          <w:numId w:val="1003"/>
        </w:numPr>
        <w:pStyle w:val="Compact"/>
      </w:pPr>
      <w:r>
        <w:rPr>
          <w:bCs/>
          <w:b/>
        </w:rPr>
        <w:t xml:space="preserve">Detailed Bill of Materials (BOM):</w:t>
      </w:r>
      <w:r>
        <w:t xml:space="preserve"> </w:t>
      </w:r>
      <w:r>
        <w:t xml:space="preserve">The BOM data provided ("lhxyfukn") was parsed to include detailed material quantities, processes, and pre-calculated carbon impacts.</w:t>
      </w:r>
    </w:p>
    <w:p>
      <w:pPr>
        <w:numPr>
          <w:ilvl w:val="0"/>
          <w:numId w:val="1003"/>
        </w:numPr>
        <w:pStyle w:val="Compact"/>
      </w:pPr>
      <w:r>
        <w:rPr>
          <w:bCs/>
          <w:b/>
        </w:rPr>
        <w:t xml:space="preserve">Transport Logistics:</w:t>
      </w:r>
    </w:p>
    <w:p>
      <w:pPr>
        <w:numPr>
          <w:ilvl w:val="1"/>
          <w:numId w:val="1004"/>
        </w:numPr>
        <w:pStyle w:val="Compact"/>
      </w:pPr>
      <w:r>
        <w:rPr>
          <w:bCs/>
          <w:b/>
        </w:rPr>
        <w:t xml:space="preserve">Upstream Transport Mode:</w:t>
      </w:r>
      <w:r>
        <w:t xml:space="preserve"> </w:t>
      </w:r>
      <w:r>
        <w:t xml:space="preserve">Road Freight (HGV &gt;16t)</w:t>
      </w:r>
    </w:p>
    <w:p>
      <w:pPr>
        <w:numPr>
          <w:ilvl w:val="1"/>
          <w:numId w:val="1004"/>
        </w:numPr>
        <w:pStyle w:val="Compact"/>
      </w:pPr>
      <w:r>
        <w:rPr>
          <w:bCs/>
          <w:b/>
        </w:rPr>
        <w:t xml:space="preserve">Upstream Transport Distance:</w:t>
      </w:r>
      <w:r>
        <w:t xml:space="preserve"> </w:t>
      </w:r>
      <w:r>
        <w:t xml:space="preserve">1500 km (for raw materials to factory)</w:t>
      </w:r>
    </w:p>
    <w:p>
      <w:pPr>
        <w:numPr>
          <w:ilvl w:val="1"/>
          <w:numId w:val="1004"/>
        </w:numPr>
        <w:pStyle w:val="Compact"/>
      </w:pPr>
      <w:r>
        <w:rPr>
          <w:bCs/>
          <w:b/>
        </w:rPr>
        <w:t xml:space="preserve">Last-Mile Delivery Channel:</w:t>
      </w:r>
      <w:r>
        <w:t xml:space="preserve"> </w:t>
      </w:r>
      <w:r>
        <w:t xml:space="preserve">Van (Diesel)</w:t>
      </w:r>
    </w:p>
    <w:p>
      <w:pPr>
        <w:numPr>
          <w:ilvl w:val="1"/>
          <w:numId w:val="1004"/>
        </w:numPr>
        <w:pStyle w:val="Compact"/>
      </w:pPr>
      <w:r>
        <w:rPr>
          <w:bCs/>
          <w:b/>
        </w:rPr>
        <w:t xml:space="preserve">Assumed Last-Mile Delivery Distance:</w:t>
      </w:r>
      <w:r>
        <w:t xml:space="preserve"> </w:t>
      </w:r>
      <w:r>
        <w:t xml:space="preserve">50 km per unit</w:t>
      </w:r>
    </w:p>
    <w:p>
      <w:pPr>
        <w:numPr>
          <w:ilvl w:val="0"/>
          <w:numId w:val="1003"/>
        </w:numPr>
        <w:pStyle w:val="Compact"/>
      </w:pPr>
      <w:r>
        <w:rPr>
          <w:bCs/>
          <w:b/>
        </w:rPr>
        <w:t xml:space="preserve">Production Energy:</w:t>
      </w:r>
    </w:p>
    <w:p>
      <w:pPr>
        <w:numPr>
          <w:ilvl w:val="1"/>
          <w:numId w:val="1005"/>
        </w:numPr>
        <w:pStyle w:val="Compact"/>
      </w:pPr>
      <w:r>
        <w:rPr>
          <w:bCs/>
          <w:b/>
        </w:rPr>
        <w:t xml:space="preserve">Renewable Energy Usage:</w:t>
      </w:r>
      <w:r>
        <w:t xml:space="preserve"> </w:t>
      </w:r>
      <w:r>
        <w:t xml:space="preserve">60%</w:t>
      </w:r>
    </w:p>
    <w:p>
      <w:pPr>
        <w:numPr>
          <w:ilvl w:val="1"/>
          <w:numId w:val="1005"/>
        </w:numPr>
        <w:pStyle w:val="Compact"/>
      </w:pPr>
      <w:r>
        <w:rPr>
          <w:bCs/>
          <w:b/>
        </w:rPr>
        <w:t xml:space="preserve">Energy Intensity (kWh/unit):</w:t>
      </w:r>
      <w:r>
        <w:t xml:space="preserve"> </w:t>
      </w:r>
      <w:r>
        <w:t xml:space="preserve">150 kWh/unit</w:t>
      </w:r>
    </w:p>
    <w:p>
      <w:pPr>
        <w:numPr>
          <w:ilvl w:val="0"/>
          <w:numId w:val="1003"/>
        </w:numPr>
        <w:pStyle w:val="Compact"/>
      </w:pPr>
      <w:r>
        <w:rPr>
          <w:bCs/>
          <w:b/>
        </w:rPr>
        <w:t xml:space="preserve">Use Phase:</w:t>
      </w:r>
    </w:p>
    <w:p>
      <w:pPr>
        <w:numPr>
          <w:ilvl w:val="1"/>
          <w:numId w:val="1006"/>
        </w:numPr>
        <w:pStyle w:val="Compact"/>
      </w:pPr>
      <w:r>
        <w:rPr>
          <w:bCs/>
          <w:b/>
        </w:rPr>
        <w:t xml:space="preserve">Energy Consumption in Use:</w:t>
      </w:r>
      <w:r>
        <w:t xml:space="preserve"> </w:t>
      </w:r>
      <w:r>
        <w:t xml:space="preserve">25 kWh/year</w:t>
      </w:r>
    </w:p>
    <w:p>
      <w:pPr>
        <w:numPr>
          <w:ilvl w:val="0"/>
          <w:numId w:val="1003"/>
        </w:numPr>
        <w:pStyle w:val="Compact"/>
      </w:pPr>
      <w:r>
        <w:rPr>
          <w:bCs/>
          <w:b/>
        </w:rPr>
        <w:t xml:space="preserve">End-of-Life (EoL) Scenarios:</w:t>
      </w:r>
    </w:p>
    <w:p>
      <w:pPr>
        <w:numPr>
          <w:ilvl w:val="1"/>
          <w:numId w:val="1007"/>
        </w:numPr>
        <w:pStyle w:val="Compact"/>
      </w:pPr>
      <w:r>
        <w:rPr>
          <w:bCs/>
          <w:b/>
        </w:rPr>
        <w:t xml:space="preserve">Recyclability Percentage:</w:t>
      </w:r>
      <w:r>
        <w:t xml:space="preserve"> </w:t>
      </w:r>
      <w:r>
        <w:t xml:space="preserve">85%</w:t>
      </w:r>
    </w:p>
    <w:p>
      <w:pPr>
        <w:numPr>
          <w:ilvl w:val="1"/>
          <w:numId w:val="1007"/>
        </w:numPr>
        <w:pStyle w:val="Compact"/>
      </w:pPr>
      <w:r>
        <w:rPr>
          <w:bCs/>
          <w:b/>
        </w:rPr>
        <w:t xml:space="preserve">Circular/Take-back Programs:</w:t>
      </w:r>
      <w:r>
        <w:t xml:space="preserve"> </w:t>
      </w:r>
      <w:r>
        <w:t xml:space="preserve">Yes, through partner collection points</w:t>
      </w:r>
    </w:p>
    <w:p>
      <w:r>
        <w:pict>
          <v:rect style="width:0;height:1.5pt" o:hralign="center" o:hrstd="t" o:hr="t"/>
        </w:pict>
      </w:r>
    </w:p>
    <w:bookmarkEnd w:id="24"/>
    <w:bookmarkEnd w:id="25"/>
    <w:bookmarkStart w:id="31" w:name="X939a47aef72a4a28c08ea406bdad185696e1f66"/>
    <w:p>
      <w:pPr>
        <w:pStyle w:val="Heading2"/>
      </w:pPr>
      <w:r>
        <w:t xml:space="preserve">4. Lifecycle Inventory (LCI) and Data Collection</w:t>
      </w:r>
    </w:p>
    <w:bookmarkStart w:id="27" w:name="bill-of-materials-bom-analysis"/>
    <w:p>
      <w:pPr>
        <w:pStyle w:val="Heading3"/>
      </w:pPr>
      <w:r>
        <w:t xml:space="preserve">4.1. Bill of Materials (BOM) Analysis</w:t>
      </w:r>
    </w:p>
    <w:p>
      <w:pPr>
        <w:pStyle w:val="FirstParagraph"/>
      </w:pPr>
      <w:r>
        <w:t xml:space="preserve">The Detailed Bill of Materials (BOM) "lhxyfukn" provided the foundational data for material-related emissions. The "Total Carbon" value for each component, where available, directly reflects the upstream emissions (raw material extraction, processing, and manufacturing up to the point of component acquisition by svwzjpngpk). The total mass of the finished product, derived from the sum of component quantities, is approximately 5.1 kg per unit (assuming 0.1 kg for a circuit board unit).</w:t>
      </w:r>
    </w:p>
    <w:bookmarkStart w:id="26" w:name="Xcbf4afb1b9d9a99d50acd10e3f7f955d1e1c9f5"/>
    <w:p>
      <w:pPr>
        <w:pStyle w:val="Heading4"/>
      </w:pPr>
      <w:r>
        <w:t xml:space="preserve">Table 1: Detailed Bill of Materials (BOM) - lhxyfukn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3.0</w:t>
            </w:r>
          </w:p>
        </w:tc>
        <w:tc>
          <w:tcPr/>
          <w:p>
            <w:pPr>
              <w:pStyle w:val="Compact"/>
              <w:jc w:val="left"/>
            </w:pPr>
            <w:r>
              <w:t xml:space="preserve">kg</w:t>
            </w:r>
          </w:p>
        </w:tc>
        <w:tc>
          <w:tcPr/>
          <w:p>
            <w:pPr>
              <w:pStyle w:val="Compact"/>
              <w:jc w:val="left"/>
            </w:pPr>
            <w:r>
              <w:t xml:space="preserve">2.5</w:t>
            </w:r>
          </w:p>
        </w:tc>
        <w:tc>
          <w:tcPr/>
          <w:p>
            <w:pPr>
              <w:pStyle w:val="Compact"/>
              <w:jc w:val="left"/>
            </w:pPr>
            <w:r>
              <w:t xml:space="preserve">7.50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3.0</w:t>
            </w:r>
          </w:p>
        </w:tc>
        <w:tc>
          <w:tcPr/>
          <w:p>
            <w:pPr>
              <w:pStyle w:val="Compact"/>
              <w:jc w:val="left"/>
            </w:pPr>
            <w:r>
              <w:t xml:space="preserve">3.60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5.0</w:t>
            </w:r>
          </w:p>
        </w:tc>
        <w:tc>
          <w:tcPr/>
          <w:p>
            <w:pPr>
              <w:pStyle w:val="Compact"/>
              <w:jc w:val="left"/>
            </w:pPr>
            <w:r>
              <w:t xml:space="preserve">5.00</w:t>
            </w:r>
          </w:p>
        </w:tc>
      </w:tr>
      <w:tr>
        <w:tc>
          <w:tcPr/>
          <w:p>
            <w:pPr>
              <w:pStyle w:val="Compact"/>
              <w:jc w:val="left"/>
            </w:pPr>
            <w:r>
              <w:t xml:space="preserve">4</w:t>
            </w:r>
          </w:p>
        </w:tc>
        <w:tc>
          <w:tcPr/>
          <w:p>
            <w:pPr>
              <w:pStyle w:val="Compact"/>
              <w:jc w:val="left"/>
            </w:pPr>
            <w:r>
              <w:t xml:space="preserve">Li-ion Battery</w:t>
            </w:r>
          </w:p>
        </w:tc>
        <w:tc>
          <w:tcPr/>
          <w:p>
            <w:pPr>
              <w:pStyle w:val="Compact"/>
              <w:jc w:val="left"/>
            </w:pPr>
            <w:r>
              <w:t xml:space="preserve">Chemical</w:t>
            </w:r>
          </w:p>
        </w:tc>
        <w:tc>
          <w:tcPr/>
          <w:p>
            <w:pPr>
              <w:pStyle w:val="Compact"/>
              <w:jc w:val="left"/>
            </w:pPr>
            <w:r>
              <w:t xml:space="preserve">Manufacturing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7.50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Forming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1.5</w:t>
            </w:r>
          </w:p>
        </w:tc>
        <w:tc>
          <w:tcPr/>
          <w:p>
            <w:pPr>
              <w:pStyle w:val="Compact"/>
              <w:jc w:val="left"/>
            </w:pPr>
            <w:r>
              <w:t xml:space="preserve">0.45</w:t>
            </w:r>
          </w:p>
        </w:tc>
      </w:tr>
      <w:tr>
        <w:tc>
          <w:tcPr>
            <w:gridSpan w:val="7"/>
          </w:tcPr>
          <w:p>
            <w:pPr>
              <w:pStyle w:val="Compact"/>
              <w:jc w:val="right"/>
            </w:pPr>
            <w:r>
              <w:rPr>
                <w:bCs/>
                <w:b/>
              </w:rPr>
              <w:t xml:space="preserve">Total Material Emissions:</w:t>
            </w:r>
          </w:p>
        </w:tc>
        <w:tc>
          <w:tcPr/>
          <w:p>
            <w:pPr>
              <w:pStyle w:val="Compact"/>
              <w:jc w:val="left"/>
            </w:pPr>
            <w:r>
              <w:rPr>
                <w:bCs/>
                <w:b/>
              </w:rPr>
              <w:t xml:space="preserve">24.05</w:t>
            </w:r>
          </w:p>
        </w:tc>
      </w:tr>
      <w:tr>
        <w:tc>
          <w:tcPr>
            <w:gridSpan w:val="7"/>
          </w:tcPr>
          <w:p>
            <w:pPr>
              <w:pStyle w:val="Compact"/>
              <w:jc w:val="right"/>
            </w:pPr>
            <w:r>
              <w:rPr>
                <w:bCs/>
                <w:b/>
              </w:rPr>
              <w:t xml:space="preserve">Total Product Mass (approx.):</w:t>
            </w:r>
          </w:p>
        </w:tc>
        <w:tc>
          <w:tcPr/>
          <w:p>
            <w:pPr>
              <w:pStyle w:val="Compact"/>
              <w:jc w:val="left"/>
            </w:pPr>
            <w:r>
              <w:rPr>
                <w:bCs/>
                <w:b/>
              </w:rPr>
              <w:t xml:space="preserve">5.1 kg</w:t>
            </w:r>
          </w:p>
        </w:tc>
      </w:tr>
    </w:tbl>
    <w:bookmarkEnd w:id="26"/>
    <w:bookmarkEnd w:id="27"/>
    <w:bookmarkStart w:id="28" w:name="energy-inputs"/>
    <w:p>
      <w:pPr>
        <w:pStyle w:val="Heading3"/>
      </w:pPr>
      <w:r>
        <w:t xml:space="preserve">4.2. Energy Inputs</w:t>
      </w:r>
    </w:p>
    <w:p>
      <w:pPr>
        <w:numPr>
          <w:ilvl w:val="0"/>
          <w:numId w:val="1008"/>
        </w:numPr>
        <w:pStyle w:val="Compact"/>
      </w:pPr>
      <w:r>
        <w:rPr>
          <w:bCs/>
          <w:b/>
        </w:rPr>
        <w:t xml:space="preserve">Production Energy:</w:t>
      </w:r>
      <w:r>
        <w:t xml:space="preserve"> </w:t>
      </w:r>
      <w:r>
        <w:t xml:space="preserve">The manufacturing process of hojjgqlmoi consumes 150 kWh/unit. With 60% sourced from renewable energy, the remaining 40% (60 kWh/unit) relies on the grid mix.</w:t>
      </w:r>
    </w:p>
    <w:p>
      <w:pPr>
        <w:numPr>
          <w:ilvl w:val="0"/>
          <w:numId w:val="1008"/>
        </w:numPr>
        <w:pStyle w:val="Compact"/>
      </w:pPr>
      <w:r>
        <w:rPr>
          <w:bCs/>
          <w:b/>
        </w:rPr>
        <w:t xml:space="preserve">Use Phase Energy:</w:t>
      </w:r>
      <w:r>
        <w:t xml:space="preserve"> </w:t>
      </w:r>
      <w:r>
        <w:t xml:space="preserve">The product consumes 25 kWh/year over its 7-year lifespan, totaling 175 kWh of electricity during its active use.</w:t>
      </w:r>
    </w:p>
    <w:bookmarkEnd w:id="28"/>
    <w:bookmarkStart w:id="29" w:name="transport-data"/>
    <w:p>
      <w:pPr>
        <w:pStyle w:val="Heading3"/>
      </w:pPr>
      <w:r>
        <w:t xml:space="preserve">4.3. Transport Data</w:t>
      </w:r>
    </w:p>
    <w:p>
      <w:pPr>
        <w:numPr>
          <w:ilvl w:val="0"/>
          <w:numId w:val="1009"/>
        </w:numPr>
        <w:pStyle w:val="Compact"/>
      </w:pPr>
      <w:r>
        <w:rPr>
          <w:bCs/>
          <w:b/>
        </w:rPr>
        <w:t xml:space="preserve">Upstream Transport:</w:t>
      </w:r>
      <w:r>
        <w:t xml:space="preserve"> </w:t>
      </w:r>
      <w:r>
        <w:t xml:space="preserve">Raw materials are assumed to be transported 1500 km by road freight (Heavy Goods Vehicle &gt;16t) from European suppliers to the manufacturing facility in China.</w:t>
      </w:r>
    </w:p>
    <w:p>
      <w:pPr>
        <w:numPr>
          <w:ilvl w:val="0"/>
          <w:numId w:val="1009"/>
        </w:numPr>
        <w:pStyle w:val="Compact"/>
      </w:pPr>
      <w:r>
        <w:rPr>
          <w:bCs/>
          <w:b/>
        </w:rPr>
        <w:t xml:space="preserve">Last-Mile Delivery:</w:t>
      </w:r>
      <w:r>
        <w:t xml:space="preserve"> </w:t>
      </w:r>
      <w:r>
        <w:t xml:space="preserve">Each unit is assumed to undergo a 50 km last-mile delivery by a diesel van.</w:t>
      </w:r>
    </w:p>
    <w:bookmarkEnd w:id="29"/>
    <w:bookmarkStart w:id="30" w:name="end-of-life-data"/>
    <w:p>
      <w:pPr>
        <w:pStyle w:val="Heading3"/>
      </w:pPr>
      <w:r>
        <w:t xml:space="preserve">4.4. End-of-Life Data</w:t>
      </w:r>
    </w:p>
    <w:p>
      <w:pPr>
        <w:numPr>
          <w:ilvl w:val="0"/>
          <w:numId w:val="1010"/>
        </w:numPr>
        <w:pStyle w:val="Compact"/>
      </w:pPr>
      <w:r>
        <w:rPr>
          <w:bCs/>
          <w:b/>
        </w:rPr>
        <w:t xml:space="preserve">Recyclability:</w:t>
      </w:r>
      <w:r>
        <w:t xml:space="preserve"> </w:t>
      </w:r>
      <w:r>
        <w:t xml:space="preserve">85% of the product\'s mass is considered recyclable.</w:t>
      </w:r>
    </w:p>
    <w:p>
      <w:pPr>
        <w:numPr>
          <w:ilvl w:val="0"/>
          <w:numId w:val="1010"/>
        </w:numPr>
        <w:pStyle w:val="Compact"/>
      </w:pPr>
      <w:r>
        <w:rPr>
          <w:bCs/>
          <w:b/>
        </w:rPr>
        <w:t xml:space="preserve">Circular Programs:</w:t>
      </w:r>
      <w:r>
        <w:t xml:space="preserve"> </w:t>
      </w:r>
      <w:r>
        <w:t xml:space="preserve">svwzjpngpk supports circular/take-back programs through partner collection points, facilitating material recovery.</w:t>
      </w:r>
    </w:p>
    <w:p>
      <w:r>
        <w:pict>
          <v:rect style="width:0;height:1.5pt" o:hralign="center" o:hrstd="t" o:hr="t"/>
        </w:pict>
      </w:r>
    </w:p>
    <w:bookmarkEnd w:id="30"/>
    <w:bookmarkEnd w:id="31"/>
    <w:bookmarkStart w:id="43" w:name="emissions-calculation"/>
    <w:p>
      <w:pPr>
        <w:pStyle w:val="Heading2"/>
      </w:pPr>
      <w:r>
        <w:t xml:space="preserve">5. Emissions Calculation</w:t>
      </w:r>
    </w:p>
    <w:p>
      <w:pPr>
        <w:pStyle w:val="FirstParagraph"/>
      </w:pPr>
      <w:r>
        <w:t xml:space="preserve">This section details the calculation of GHG emissions for each lifecycle stage, categorized by GHG Protocol scopes. Generic industry-standard emission factors are applied where specific factors were not provided. These factors are representative averages and may vary based on specific technology, region, and operational efficiencies.</w:t>
      </w:r>
    </w:p>
    <w:bookmarkStart w:id="32" w:name="emission-factors-used-illustrative"/>
    <w:p>
      <w:pPr>
        <w:pStyle w:val="Heading3"/>
      </w:pPr>
      <w:r>
        <w:t xml:space="preserve">5.1. Emission Factors Used (Illustrative)</w:t>
      </w:r>
    </w:p>
    <w:p>
      <w:pPr>
        <w:pStyle w:val="FirstParagraph"/>
      </w:pPr>
      <w:r>
        <w:t xml:space="preserve">The following emission factors have been used for calculation purposes, drawing from industry averages and publicly available data where precise proprietary data was not provided. It is important to note that these are illustrative and may be subject to variation based on specific regional and technological contexts.</w:t>
      </w:r>
    </w:p>
    <w:p>
      <w:pPr>
        <w:numPr>
          <w:ilvl w:val="0"/>
          <w:numId w:val="1011"/>
        </w:numPr>
        <w:pStyle w:val="Compact"/>
      </w:pPr>
      <w:r>
        <w:t xml:space="preserve">China Grid Electricity Emission Factor: 0.556 kg CO2e/kWh</w:t>
      </w:r>
    </w:p>
    <w:p>
      <w:pPr>
        <w:numPr>
          <w:ilvl w:val="0"/>
          <w:numId w:val="1011"/>
        </w:numPr>
        <w:pStyle w:val="Compact"/>
      </w:pPr>
      <w:r>
        <w:t xml:space="preserve">Renewable Electricity Emission Factor: 0.0 kg CO2e/kWh (assuming certified 100% renewable electricity)</w:t>
      </w:r>
    </w:p>
    <w:p>
      <w:pPr>
        <w:numPr>
          <w:ilvl w:val="0"/>
          <w:numId w:val="1011"/>
        </w:numPr>
        <w:pStyle w:val="Compact"/>
      </w:pPr>
      <w:r>
        <w:t xml:space="preserve">Road Freight (HGV &gt;16t, EU Average): 0.06 kg CO2e/tonne-km</w:t>
      </w:r>
    </w:p>
    <w:p>
      <w:pPr>
        <w:numPr>
          <w:ilvl w:val="0"/>
          <w:numId w:val="1011"/>
        </w:numPr>
        <w:pStyle w:val="Compact"/>
      </w:pPr>
      <w:r>
        <w:t xml:space="preserve">Diesel Van (Last-Mile Delivery, EU Average): 0.24 kg CO2e/km</w:t>
      </w:r>
    </w:p>
    <w:p>
      <w:pPr>
        <w:numPr>
          <w:ilvl w:val="0"/>
          <w:numId w:val="1011"/>
        </w:numPr>
        <w:pStyle w:val="Compact"/>
      </w:pPr>
      <w:r>
        <w:t xml:space="preserve">Landfill (Mixed Waste, generic): 0.2 kg CO2e/kg (accounts for methane emissions)</w:t>
      </w:r>
    </w:p>
    <w:p>
      <w:pPr>
        <w:numPr>
          <w:ilvl w:val="0"/>
          <w:numId w:val="1011"/>
        </w:numPr>
        <w:pStyle w:val="Compact"/>
      </w:pPr>
      <w:r>
        <w:t xml:space="preserve">Recycling Credit (Generic, for avoided virgin material production): -1.0 kg CO2e/kg</w:t>
      </w:r>
    </w:p>
    <w:bookmarkEnd w:id="32"/>
    <w:bookmarkStart w:id="42" w:name="emissions-by-lifecycle-stage-and-scope"/>
    <w:p>
      <w:pPr>
        <w:pStyle w:val="Heading3"/>
      </w:pPr>
      <w:r>
        <w:t xml:space="preserve">5.2. Emissions by Lifecycle Stage and Scope</w:t>
      </w:r>
    </w:p>
    <w:bookmarkStart w:id="33" w:name="Xa124a95b981c370289279a4b723120ad8e79cc2"/>
    <w:p>
      <w:pPr>
        <w:pStyle w:val="Heading4"/>
      </w:pPr>
      <w:r>
        <w:t xml:space="preserve">5.2.1. Materials Acquisition &amp; Pre-processing (Scope 3 - Upstream)</w:t>
      </w:r>
    </w:p>
    <w:p>
      <w:pPr>
        <w:pStyle w:val="FirstParagraph"/>
      </w:pPr>
      <w:r>
        <w:t xml:space="preserve">Emissions from the extraction, processing, and manufacturing of raw materials are directly taken from the "Total Carbon" values provided in the BOM.</w:t>
      </w:r>
    </w:p>
    <w:p>
      <w:pPr>
        <w:numPr>
          <w:ilvl w:val="0"/>
          <w:numId w:val="1012"/>
        </w:numPr>
        <w:pStyle w:val="Compact"/>
      </w:pPr>
      <w:r>
        <w:t xml:space="preserve">Total Material Emissions: 24.05 kg CO2e</w:t>
      </w:r>
    </w:p>
    <w:bookmarkEnd w:id="33"/>
    <w:bookmarkStart w:id="34" w:name="manufacturing-production-scope-2"/>
    <w:p>
      <w:pPr>
        <w:pStyle w:val="Heading4"/>
      </w:pPr>
      <w:r>
        <w:t xml:space="preserve">5.2.2. Manufacturing / Production (Scope 2)</w:t>
      </w:r>
    </w:p>
    <w:p>
      <w:pPr>
        <w:pStyle w:val="FirstParagraph"/>
      </w:pPr>
      <w:r>
        <w:t xml:space="preserve">This stage accounts for the energy consumed at the svwzjpngpk production facility in China.</w:t>
      </w:r>
    </w:p>
    <w:p>
      <w:pPr>
        <w:numPr>
          <w:ilvl w:val="0"/>
          <w:numId w:val="1013"/>
        </w:numPr>
        <w:pStyle w:val="Compact"/>
      </w:pPr>
      <w:r>
        <w:t xml:space="preserve">Total Energy Consumption: 150 kWh/unit</w:t>
      </w:r>
    </w:p>
    <w:p>
      <w:pPr>
        <w:numPr>
          <w:ilvl w:val="0"/>
          <w:numId w:val="1013"/>
        </w:numPr>
        <w:pStyle w:val="Compact"/>
      </w:pPr>
      <w:r>
        <w:t xml:space="preserve">Renewable Energy Usage: 60%</w:t>
      </w:r>
    </w:p>
    <w:p>
      <w:pPr>
        <w:numPr>
          <w:ilvl w:val="0"/>
          <w:numId w:val="1013"/>
        </w:numPr>
        <w:pStyle w:val="Compact"/>
      </w:pPr>
      <w:r>
        <w:t xml:space="preserve">Non-renewable (grid) energy: 150 kWh * (1 - 0.60) = 60 kWh</w:t>
      </w:r>
    </w:p>
    <w:p>
      <w:pPr>
        <w:numPr>
          <w:ilvl w:val="0"/>
          <w:numId w:val="1013"/>
        </w:numPr>
        <w:pStyle w:val="Compact"/>
      </w:pPr>
      <w:r>
        <w:t xml:space="preserve">Emissions from Production Energy: 60 kWh * 0.556 kg CO2e/kWh = 33.36 kg CO2e</w:t>
      </w:r>
    </w:p>
    <w:bookmarkEnd w:id="34"/>
    <w:bookmarkStart w:id="37" w:name="Xc78fa9e95fdc5a4841e5055035e97eb6a5c3c11"/>
    <w:p>
      <w:pPr>
        <w:pStyle w:val="Heading4"/>
      </w:pPr>
      <w:r>
        <w:t xml:space="preserve">5.2.3. Transport &amp; Distribution (Scope 3 - Upstream &amp; Downstream)</w:t>
      </w:r>
    </w:p>
    <w:bookmarkStart w:id="35" w:name="X094c4d369b2240d0dfe2415d2c25dadd27ffb0e"/>
    <w:p>
      <w:pPr>
        <w:pStyle w:val="Heading5"/>
      </w:pPr>
      <w:r>
        <w:t xml:space="preserve">Upstream Transport (Raw Materials to Factory)</w:t>
      </w:r>
    </w:p>
    <w:p>
      <w:pPr>
        <w:numPr>
          <w:ilvl w:val="0"/>
          <w:numId w:val="1014"/>
        </w:numPr>
        <w:pStyle w:val="Compact"/>
      </w:pPr>
      <w:r>
        <w:t xml:space="preserve">Total Product Mass: 5.1 kg (0.0051 tonnes)</w:t>
      </w:r>
    </w:p>
    <w:p>
      <w:pPr>
        <w:numPr>
          <w:ilvl w:val="0"/>
          <w:numId w:val="1014"/>
        </w:numPr>
        <w:pStyle w:val="Compact"/>
      </w:pPr>
      <w:r>
        <w:t xml:space="preserve">Transport Distance: 1500 km</w:t>
      </w:r>
    </w:p>
    <w:p>
      <w:pPr>
        <w:numPr>
          <w:ilvl w:val="0"/>
          <w:numId w:val="1014"/>
        </w:numPr>
        <w:pStyle w:val="Compact"/>
      </w:pPr>
      <w:r>
        <w:t xml:space="preserve">Emissions: 0.0051 tonnes * 1500 km * 0.06 kg CO2e/tonne-km = 0.46 kg CO2e</w:t>
      </w:r>
    </w:p>
    <w:bookmarkEnd w:id="35"/>
    <w:bookmarkStart w:id="36" w:name="Xbff8a415b6b17acbb556111cf6a5dabd0af0d79"/>
    <w:p>
      <w:pPr>
        <w:pStyle w:val="Heading5"/>
      </w:pPr>
      <w:r>
        <w:t xml:space="preserve">Downstream Transport (Last-Mile Delivery to Customer)</w:t>
      </w:r>
    </w:p>
    <w:p>
      <w:pPr>
        <w:numPr>
          <w:ilvl w:val="0"/>
          <w:numId w:val="1015"/>
        </w:numPr>
        <w:pStyle w:val="Compact"/>
      </w:pPr>
      <w:r>
        <w:t xml:space="preserve">Assumed Distance per Unit: 50 km</w:t>
      </w:r>
    </w:p>
    <w:p>
      <w:pPr>
        <w:numPr>
          <w:ilvl w:val="0"/>
          <w:numId w:val="1015"/>
        </w:numPr>
        <w:pStyle w:val="Compact"/>
      </w:pPr>
      <w:r>
        <w:t xml:space="preserve">Emissions: 1 unit * 50 km * 0.24 kg CO2e/km = 12.00 kg CO2e</w:t>
      </w:r>
    </w:p>
    <w:p>
      <w:pPr>
        <w:numPr>
          <w:ilvl w:val="0"/>
          <w:numId w:val="1016"/>
        </w:numPr>
        <w:pStyle w:val="Compact"/>
      </w:pPr>
      <w:r>
        <w:t xml:space="preserve">Total Transport Emissions: 0.46 + 12.00 = 12.46 kg CO2e</w:t>
      </w:r>
    </w:p>
    <w:bookmarkEnd w:id="36"/>
    <w:bookmarkEnd w:id="37"/>
    <w:bookmarkStart w:id="38" w:name="use-phase-scope-3---downstream"/>
    <w:p>
      <w:pPr>
        <w:pStyle w:val="Heading4"/>
      </w:pPr>
      <w:r>
        <w:t xml:space="preserve">5.2.4. Use Phase (Scope 3 - Downstream)</w:t>
      </w:r>
    </w:p>
    <w:p>
      <w:pPr>
        <w:pStyle w:val="FirstParagraph"/>
      </w:pPr>
      <w:r>
        <w:t xml:space="preserve">Energy consumption during the product\'s lifespan is a significant contributor to its carbon footprint.</w:t>
      </w:r>
    </w:p>
    <w:p>
      <w:pPr>
        <w:numPr>
          <w:ilvl w:val="0"/>
          <w:numId w:val="1017"/>
        </w:numPr>
        <w:pStyle w:val="Compact"/>
      </w:pPr>
      <w:r>
        <w:t xml:space="preserve">Product Lifespan: 7 years</w:t>
      </w:r>
    </w:p>
    <w:p>
      <w:pPr>
        <w:numPr>
          <w:ilvl w:val="0"/>
          <w:numId w:val="1017"/>
        </w:numPr>
        <w:pStyle w:val="Compact"/>
      </w:pPr>
      <w:r>
        <w:t xml:space="preserve">Annual Energy Consumption: 25 kWh/year</w:t>
      </w:r>
    </w:p>
    <w:p>
      <w:pPr>
        <w:numPr>
          <w:ilvl w:val="0"/>
          <w:numId w:val="1017"/>
        </w:numPr>
        <w:pStyle w:val="Compact"/>
      </w:pPr>
      <w:r>
        <w:t xml:space="preserve">Total Energy Consumption over Lifespan: 25 kWh/year * 7 years = 175 kWh</w:t>
      </w:r>
    </w:p>
    <w:p>
      <w:pPr>
        <w:numPr>
          <w:ilvl w:val="0"/>
          <w:numId w:val="1017"/>
        </w:numPr>
        <w:pStyle w:val="Compact"/>
      </w:pPr>
      <w:r>
        <w:t xml:space="preserve">Emissions: 175 kWh * 0.556 kg CO2e/kWh = 97.30 kg CO2e</w:t>
      </w:r>
    </w:p>
    <w:bookmarkEnd w:id="38"/>
    <w:bookmarkStart w:id="41" w:name="end-of-life-eol-scope-3---downstream"/>
    <w:p>
      <w:pPr>
        <w:pStyle w:val="Heading4"/>
      </w:pPr>
      <w:r>
        <w:t xml:space="preserve">5.2.5. End-of-Life (EoL) (Scope 3 - Downstream)</w:t>
      </w:r>
    </w:p>
    <w:p>
      <w:pPr>
        <w:pStyle w:val="FirstParagraph"/>
      </w:pPr>
      <w:r>
        <w:t xml:space="preserve">The EoL scenario accounts for both recycling benefits and disposal emissions.</w:t>
      </w:r>
    </w:p>
    <w:p>
      <w:pPr>
        <w:numPr>
          <w:ilvl w:val="0"/>
          <w:numId w:val="1018"/>
        </w:numPr>
        <w:pStyle w:val="Compact"/>
      </w:pPr>
      <w:r>
        <w:t xml:space="preserve">Total Product Mass: 5.1 kg</w:t>
      </w:r>
    </w:p>
    <w:p>
      <w:pPr>
        <w:numPr>
          <w:ilvl w:val="0"/>
          <w:numId w:val="1018"/>
        </w:numPr>
        <w:pStyle w:val="Compact"/>
      </w:pPr>
      <w:r>
        <w:t xml:space="preserve">Recyclability Percentage: 85%</w:t>
      </w:r>
    </w:p>
    <w:p>
      <w:pPr>
        <w:numPr>
          <w:ilvl w:val="0"/>
          <w:numId w:val="1018"/>
        </w:numPr>
        <w:pStyle w:val="Compact"/>
      </w:pPr>
      <w:r>
        <w:t xml:space="preserve">Mass Recycled: 5.1 kg * 0.85 = 4.34 kg</w:t>
      </w:r>
    </w:p>
    <w:p>
      <w:pPr>
        <w:numPr>
          <w:ilvl w:val="0"/>
          <w:numId w:val="1018"/>
        </w:numPr>
        <w:pStyle w:val="Compact"/>
      </w:pPr>
      <w:r>
        <w:t xml:space="preserve">Mass to Disposal (remaining 15%): 5.1 kg * 0.15 = 0.77 kg</w:t>
      </w:r>
    </w:p>
    <w:bookmarkStart w:id="39" w:name="recycling-credit"/>
    <w:p>
      <w:pPr>
        <w:pStyle w:val="Heading5"/>
      </w:pPr>
      <w:r>
        <w:t xml:space="preserve">Recycling Credit</w:t>
      </w:r>
    </w:p>
    <w:p>
      <w:pPr>
        <w:numPr>
          <w:ilvl w:val="0"/>
          <w:numId w:val="1019"/>
        </w:numPr>
        <w:pStyle w:val="Compact"/>
      </w:pPr>
      <w:r>
        <w:t xml:space="preserve">Credit for Recycling: 4.34 kg * -1.0 kg CO2e/kg = -4.34 kg CO2e</w:t>
      </w:r>
    </w:p>
    <w:bookmarkEnd w:id="39"/>
    <w:bookmarkStart w:id="40" w:name="disposal-emissions-landfill"/>
    <w:p>
      <w:pPr>
        <w:pStyle w:val="Heading5"/>
      </w:pPr>
      <w:r>
        <w:t xml:space="preserve">Disposal Emissions (Landfill)</w:t>
      </w:r>
    </w:p>
    <w:p>
      <w:pPr>
        <w:numPr>
          <w:ilvl w:val="0"/>
          <w:numId w:val="1020"/>
        </w:numPr>
        <w:pStyle w:val="Compact"/>
      </w:pPr>
      <w:r>
        <w:t xml:space="preserve">Emissions from Landfill: 0.77 kg * 0.2 kg CO2e/kg = 0.15 kg CO2e</w:t>
      </w:r>
    </w:p>
    <w:p>
      <w:pPr>
        <w:numPr>
          <w:ilvl w:val="0"/>
          <w:numId w:val="1021"/>
        </w:numPr>
        <w:pStyle w:val="Compact"/>
      </w:pPr>
      <w:r>
        <w:t xml:space="preserve">Total EoL Emissions: -4.34 + 0.15 = -4.19 kg CO2e</w:t>
      </w:r>
    </w:p>
    <w:p>
      <w:r>
        <w:pict>
          <v:rect style="width:0;height:1.5pt" o:hralign="center" o:hrstd="t" o:hr="t"/>
        </w:pict>
      </w:r>
    </w:p>
    <w:bookmarkEnd w:id="40"/>
    <w:bookmarkEnd w:id="41"/>
    <w:bookmarkEnd w:id="42"/>
    <w:bookmarkEnd w:id="43"/>
    <w:bookmarkStart w:id="48" w:name="review-report-summary-of-pcf-results"/>
    <w:p>
      <w:pPr>
        <w:pStyle w:val="Heading2"/>
      </w:pPr>
      <w:r>
        <w:t xml:space="preserve">6. Review &amp; Report: Summary of PCF Results</w:t>
      </w:r>
    </w:p>
    <w:p>
      <w:pPr>
        <w:pStyle w:val="FirstParagraph"/>
      </w:pPr>
      <w:r>
        <w:t xml:space="preserve">The total Product Carbon Footprint for one functional unit of hojjgqlmoi is summarized below, broken down by lifecycle stage and GHG Protocol scope.</w:t>
      </w:r>
    </w:p>
    <w:bookmarkStart w:id="44" w:name="total-product-carbon-footprint"/>
    <w:p>
      <w:pPr>
        <w:pStyle w:val="Heading3"/>
      </w:pPr>
      <w:r>
        <w:t xml:space="preserve">6.1. Total Product Carbon Footprint</w:t>
      </w:r>
    </w:p>
    <w:p>
      <w:pPr>
        <w:pStyle w:val="FirstParagraph"/>
      </w:pPr>
      <w:r>
        <w:rPr>
          <w:bCs/>
          <w:b/>
        </w:rPr>
        <w:t xml:space="preserve">Total PCF for 1.0 unit of hojjgqlmoi: 162.99 kg CO2e</w:t>
      </w:r>
    </w:p>
    <w:bookmarkEnd w:id="44"/>
    <w:bookmarkStart w:id="45" w:name="emissions-by-ghg-scope"/>
    <w:p>
      <w:pPr>
        <w:pStyle w:val="Heading3"/>
      </w:pPr>
      <w:r>
        <w:t xml:space="preserve">6.2. Emissions by GHG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Scope 1</w:t>
            </w:r>
          </w:p>
        </w:tc>
        <w:tc>
          <w:tcPr/>
          <w:p>
            <w:pPr>
              <w:pStyle w:val="Compact"/>
              <w:jc w:val="left"/>
            </w:pPr>
            <w:r>
              <w:t xml:space="preserve">Direct emissions from owned or controlled sources (e.g., on-site fuel combustion). No direct Scope 1 emissions were quantified from provided parameters.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Indirect emissions from the generation of purchased electricity, steam, heating, or cooling.</w:t>
            </w:r>
          </w:p>
        </w:tc>
        <w:tc>
          <w:tcPr/>
          <w:p>
            <w:pPr>
              <w:pStyle w:val="Compact"/>
              <w:jc w:val="left"/>
            </w:pPr>
            <w:r>
              <w:t xml:space="preserve">33.36</w:t>
            </w:r>
          </w:p>
        </w:tc>
        <w:tc>
          <w:tcPr/>
          <w:p>
            <w:pPr>
              <w:pStyle w:val="Compact"/>
              <w:jc w:val="left"/>
            </w:pPr>
            <w:r>
              <w:t xml:space="preserve">20.5%</w:t>
            </w:r>
          </w:p>
        </w:tc>
      </w:tr>
      <w:tr>
        <w:tc>
          <w:tcPr/>
          <w:p>
            <w:pPr>
              <w:pStyle w:val="Compact"/>
              <w:jc w:val="left"/>
            </w:pPr>
            <w:r>
              <w:t xml:space="preserve">Scope 3</w:t>
            </w:r>
          </w:p>
        </w:tc>
        <w:tc>
          <w:tcPr/>
          <w:p>
            <w:pPr>
              <w:pStyle w:val="Compact"/>
              <w:jc w:val="left"/>
            </w:pPr>
            <w:r>
              <w:t xml:space="preserve">All other indirect emissions in the value chain, both upstream and downstream.</w:t>
            </w:r>
          </w:p>
        </w:tc>
        <w:tc>
          <w:tcPr/>
          <w:p>
            <w:pPr>
              <w:pStyle w:val="Compact"/>
              <w:jc w:val="left"/>
            </w:pPr>
            <w:r>
              <w:t xml:space="preserve">129.63</w:t>
            </w:r>
          </w:p>
        </w:tc>
        <w:tc>
          <w:tcPr/>
          <w:p>
            <w:pPr>
              <w:pStyle w:val="Compact"/>
              <w:jc w:val="left"/>
            </w:pPr>
            <w:r>
              <w:t xml:space="preserve">79.5%</w:t>
            </w:r>
          </w:p>
        </w:tc>
      </w:tr>
      <w:tr>
        <w:tc>
          <w:tcPr>
            <w:gridSpan w:val="2"/>
          </w:tcPr>
          <w:p>
            <w:pPr>
              <w:pStyle w:val="Compact"/>
              <w:jc w:val="right"/>
            </w:pPr>
            <w:r>
              <w:rPr>
                <w:bCs/>
                <w:b/>
              </w:rPr>
              <w:t xml:space="preserve">Total PCF:</w:t>
            </w:r>
          </w:p>
        </w:tc>
        <w:tc>
          <w:tcPr/>
          <w:p>
            <w:pPr>
              <w:pStyle w:val="Compact"/>
              <w:jc w:val="left"/>
            </w:pPr>
            <w:r>
              <w:rPr>
                <w:bCs/>
                <w:b/>
              </w:rPr>
              <w:t xml:space="preserve">162.99</w:t>
            </w:r>
          </w:p>
        </w:tc>
        <w:tc>
          <w:tcPr/>
          <w:p>
            <w:pPr>
              <w:pStyle w:val="Compact"/>
              <w:jc w:val="left"/>
            </w:pPr>
            <w:r>
              <w:rPr>
                <w:bCs/>
                <w:b/>
              </w:rPr>
              <w:t xml:space="preserve">100.0%</w:t>
            </w:r>
          </w:p>
        </w:tc>
      </w:tr>
    </w:tbl>
    <w:bookmarkEnd w:id="45"/>
    <w:bookmarkStart w:id="46" w:name="X5096330c4bb81810a5357e7719d12d50949c245"/>
    <w:p>
      <w:pPr>
        <w:pStyle w:val="Heading3"/>
      </w:pPr>
      <w:r>
        <w:t xml:space="preserve">6.3. Emissions by Lifecycle Stage (Hotspots Analysis)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Materials Acquisition &amp; Pre-processing (Scope 3)</w:t>
            </w:r>
          </w:p>
        </w:tc>
        <w:tc>
          <w:tcPr/>
          <w:p>
            <w:pPr>
              <w:pStyle w:val="Compact"/>
              <w:jc w:val="left"/>
            </w:pPr>
            <w:r>
              <w:t xml:space="preserve">24.05</w:t>
            </w:r>
          </w:p>
        </w:tc>
        <w:tc>
          <w:tcPr/>
          <w:p>
            <w:pPr>
              <w:pStyle w:val="Compact"/>
              <w:jc w:val="left"/>
            </w:pPr>
            <w:r>
              <w:t xml:space="preserve">14.7%</w:t>
            </w:r>
          </w:p>
        </w:tc>
      </w:tr>
      <w:tr>
        <w:tc>
          <w:tcPr/>
          <w:p>
            <w:pPr>
              <w:pStyle w:val="Compact"/>
              <w:jc w:val="left"/>
            </w:pPr>
            <w:r>
              <w:t xml:space="preserve">Manufacturing / Production (Scope 2)</w:t>
            </w:r>
          </w:p>
        </w:tc>
        <w:tc>
          <w:tcPr/>
          <w:p>
            <w:pPr>
              <w:pStyle w:val="Compact"/>
              <w:jc w:val="left"/>
            </w:pPr>
            <w:r>
              <w:t xml:space="preserve">33.36</w:t>
            </w:r>
          </w:p>
        </w:tc>
        <w:tc>
          <w:tcPr/>
          <w:p>
            <w:pPr>
              <w:pStyle w:val="Compact"/>
              <w:jc w:val="left"/>
            </w:pPr>
            <w:r>
              <w:t xml:space="preserve">20.5%</w:t>
            </w:r>
          </w:p>
        </w:tc>
      </w:tr>
      <w:tr>
        <w:tc>
          <w:tcPr/>
          <w:p>
            <w:pPr>
              <w:pStyle w:val="Compact"/>
              <w:jc w:val="left"/>
            </w:pPr>
            <w:r>
              <w:t xml:space="preserve">Transport &amp; Distribution (Scope 3)</w:t>
            </w:r>
          </w:p>
        </w:tc>
        <w:tc>
          <w:tcPr/>
          <w:p>
            <w:pPr>
              <w:pStyle w:val="Compact"/>
              <w:jc w:val="left"/>
            </w:pPr>
            <w:r>
              <w:t xml:space="preserve">12.46</w:t>
            </w:r>
          </w:p>
        </w:tc>
        <w:tc>
          <w:tcPr/>
          <w:p>
            <w:pPr>
              <w:pStyle w:val="Compact"/>
              <w:jc w:val="left"/>
            </w:pPr>
            <w:r>
              <w:t xml:space="preserve">7.6%</w:t>
            </w:r>
          </w:p>
        </w:tc>
      </w:tr>
      <w:tr>
        <w:tc>
          <w:tcPr/>
          <w:p>
            <w:pPr>
              <w:pStyle w:val="Compact"/>
              <w:jc w:val="left"/>
            </w:pPr>
            <w:r>
              <w:t xml:space="preserve">Use Phase (Scope 3)</w:t>
            </w:r>
          </w:p>
        </w:tc>
        <w:tc>
          <w:tcPr/>
          <w:p>
            <w:pPr>
              <w:pStyle w:val="Compact"/>
              <w:jc w:val="left"/>
            </w:pPr>
            <w:r>
              <w:t xml:space="preserve">97.30</w:t>
            </w:r>
          </w:p>
        </w:tc>
        <w:tc>
          <w:tcPr/>
          <w:p>
            <w:pPr>
              <w:pStyle w:val="Compact"/>
              <w:jc w:val="left"/>
            </w:pPr>
            <w:r>
              <w:t xml:space="preserve">59.7%</w:t>
            </w:r>
          </w:p>
        </w:tc>
      </w:tr>
      <w:tr>
        <w:tc>
          <w:tcPr/>
          <w:p>
            <w:pPr>
              <w:pStyle w:val="Compact"/>
              <w:jc w:val="left"/>
            </w:pPr>
            <w:r>
              <w:t xml:space="preserve">End-of-Life (Scope 3)</w:t>
            </w:r>
          </w:p>
        </w:tc>
        <w:tc>
          <w:tcPr/>
          <w:p>
            <w:pPr>
              <w:pStyle w:val="Compact"/>
              <w:jc w:val="left"/>
            </w:pPr>
            <w:r>
              <w:t xml:space="preserve">-4.19</w:t>
            </w:r>
          </w:p>
        </w:tc>
        <w:tc>
          <w:tcPr/>
          <w:p>
            <w:pPr>
              <w:pStyle w:val="Compact"/>
              <w:jc w:val="left"/>
            </w:pPr>
            <w:r>
              <w:t xml:space="preserve">-2.6%</w:t>
            </w:r>
          </w:p>
        </w:tc>
      </w:tr>
      <w:tr>
        <w:tc>
          <w:tcPr/>
          <w:p>
            <w:pPr>
              <w:pStyle w:val="Compact"/>
              <w:jc w:val="right"/>
            </w:pPr>
            <w:r>
              <w:rPr>
                <w:bCs/>
                <w:b/>
              </w:rPr>
              <w:t xml:space="preserve">Total PCF:</w:t>
            </w:r>
          </w:p>
        </w:tc>
        <w:tc>
          <w:tcPr/>
          <w:p>
            <w:pPr>
              <w:pStyle w:val="Compact"/>
              <w:jc w:val="left"/>
            </w:pPr>
            <w:r>
              <w:rPr>
                <w:bCs/>
                <w:b/>
              </w:rPr>
              <w:t xml:space="preserve">162.99</w:t>
            </w:r>
          </w:p>
        </w:tc>
        <w:tc>
          <w:tcPr/>
          <w:p>
            <w:pPr>
              <w:pStyle w:val="Compact"/>
              <w:jc w:val="left"/>
            </w:pPr>
            <w:r>
              <w:rPr>
                <w:bCs/>
                <w:b/>
              </w:rPr>
              <w:t xml:space="preserve">100.0%</w:t>
            </w:r>
          </w:p>
        </w:tc>
      </w:tr>
    </w:tbl>
    <w:p>
      <w:pPr>
        <w:pStyle w:val="BodyText"/>
      </w:pPr>
      <w:r>
        <w:rPr>
          <w:bCs/>
          <w:b/>
        </w:rPr>
        <w:t xml:space="preserve">Key Hotspots:</w:t>
      </w:r>
      <w:r>
        <w:t xml:space="preserve"> </w:t>
      </w:r>
      <w:r>
        <w:t xml:space="preserve">The use phase dominates the product\'s carbon footprint, accounting for almost 60% of total emissions, primarily due to ongoing energy consumption over the product\'s 7-year lifespan. The manufacturing stage, driven by purchased electricity, is the second largest contributor. Emissions from material acquisition are also significant. The End-of-Life stage demonstrates a net negative contribution due to substantial recycling credits.</w:t>
      </w:r>
    </w:p>
    <w:bookmarkEnd w:id="46"/>
    <w:bookmarkStart w:id="47" w:name="reliability-and-limitations"/>
    <w:p>
      <w:pPr>
        <w:pStyle w:val="Heading3"/>
      </w:pPr>
      <w:r>
        <w:t xml:space="preserve">6.4. Reliability and Limitations</w:t>
      </w:r>
    </w:p>
    <w:p>
      <w:pPr>
        <w:pStyle w:val="FirstParagraph"/>
      </w:pPr>
      <w:r>
        <w:t xml:space="preserve">This report provides a robust PCF analysis based on the provided parameters and industry-standard methodologies. However, certain limitations should be noted:</w:t>
      </w:r>
    </w:p>
    <w:p>
      <w:pPr>
        <w:numPr>
          <w:ilvl w:val="0"/>
          <w:numId w:val="1022"/>
        </w:numPr>
        <w:pStyle w:val="Compact"/>
      </w:pPr>
      <w:r>
        <w:rPr>
          <w:bCs/>
          <w:b/>
        </w:rPr>
        <w:t xml:space="preserve">Generic Emission Factors:</w:t>
      </w:r>
      <w:r>
        <w:t xml:space="preserve"> </w:t>
      </w:r>
      <w:r>
        <w:t xml:space="preserve">Where specific primary data or proprietary emission factors were unavailable (e.g., for certain transport modes, EoL processes, and regional grid mixes), generic industry averages have been utilized. These are representative but may not capture highly specific operational efficiencies or regional nuances of svwzjpngpk\'s supply chain or product usage.</w:t>
      </w:r>
    </w:p>
    <w:p>
      <w:pPr>
        <w:numPr>
          <w:ilvl w:val="0"/>
          <w:numId w:val="1022"/>
        </w:numPr>
        <w:pStyle w:val="Compact"/>
      </w:pPr>
      <w:r>
        <w:rPr>
          <w:bCs/>
          <w:b/>
        </w:rPr>
        <w:t xml:space="preserve">Placeholder Data Interpretation:</w:t>
      </w:r>
      <w:r>
        <w:t xml:space="preserve"> </w:t>
      </w:r>
      <w:r>
        <w:t xml:space="preserve">Input parameters provided as placeholder strings (e.g., `zuyzsfvosj` for transport distance) were assigned plausible, illustrative numerical values for calculation. Actual values could alter the results.</w:t>
      </w:r>
    </w:p>
    <w:p>
      <w:pPr>
        <w:numPr>
          <w:ilvl w:val="0"/>
          <w:numId w:val="1022"/>
        </w:numPr>
        <w:pStyle w:val="Compact"/>
      </w:pPr>
      <w:r>
        <w:rPr>
          <w:bCs/>
          <w:b/>
        </w:rPr>
        <w:t xml:space="preserve">BOM Detail:</w:t>
      </w:r>
      <w:r>
        <w:t xml:space="preserve"> </w:t>
      </w:r>
      <w:r>
        <w:t xml:space="preserve">While the BOM provided \'Total Carbon\' values, a deeper analysis into the sub-components and their precise origin could refine material acquisition emissions.</w:t>
      </w:r>
    </w:p>
    <w:p>
      <w:pPr>
        <w:numPr>
          <w:ilvl w:val="0"/>
          <w:numId w:val="1022"/>
        </w:numPr>
        <w:pStyle w:val="Compact"/>
      </w:pPr>
      <w:r>
        <w:rPr>
          <w:bCs/>
          <w:b/>
        </w:rPr>
        <w:t xml:space="preserve">2026 LSR Update:</w:t>
      </w:r>
      <w:r>
        <w:t xml:space="preserve"> </w:t>
      </w:r>
      <w:r>
        <w:t xml:space="preserve">The application of the 2026 LSR Standard is primarily qualitative due to the absence of specific land-use change data for raw material sourcing or direct removals by the product.</w:t>
      </w:r>
    </w:p>
    <w:p>
      <w:pPr>
        <w:numPr>
          <w:ilvl w:val="0"/>
          <w:numId w:val="1022"/>
        </w:numPr>
        <w:pStyle w:val="Compact"/>
      </w:pPr>
      <w:r>
        <w:rPr>
          <w:bCs/>
          <w:b/>
        </w:rPr>
        <w:t xml:space="preserve">Scope 3 Coverage:</w:t>
      </w:r>
      <w:r>
        <w:t xml:space="preserve"> </w:t>
      </w:r>
      <w:r>
        <w:t xml:space="preserve">While efforts were made to achieve high Scope 3 coverage, the completeness is reliant on the available input data. A full, granular supply chain assessment would be required to definitively confirm 95% coverage against all possible Scope 3 categories as per 2026 requirements.</w:t>
      </w:r>
    </w:p>
    <w:p>
      <w:pPr>
        <w:pStyle w:val="FirstParagraph"/>
      </w:pPr>
      <w:r>
        <w:t xml:space="preserve">Recommendations for future analysis include collecting more specific primary data for transport distances, energy mixes in different use regions, and detailed end-of-life processing information to further enhance the accuracy and granularity of the PCF.</w:t>
      </w:r>
    </w:p>
    <w:p>
      <w:r>
        <w:pict>
          <v:rect style="width:0;height:1.5pt" o:hralign="center" o:hrstd="t" o:hr="t"/>
        </w:pict>
      </w:r>
    </w:p>
    <w:p>
      <w:pPr>
        <w:pStyle w:val="FirstParagraph"/>
      </w:pPr>
      <w:r>
        <w:t xml:space="preserve">Confidential - Internal Use Only</w:t>
      </w:r>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hojjgqlmoi</dc:title>
  <dc:creator/>
  <dc:description>Detailed Product Carbon Footprint (PCF) analysis report for hojjgqlmoi by jogkzgnktf, Senior Sustainability Consultant at svwzjpngpk, adhering to GHG Protocol standards including 2026 LSR update and Scope 3 compliance.</dc:description>
  <dc:language>en</dc:language>
  <cp:keywords/>
  <dcterms:created xsi:type="dcterms:W3CDTF">2026-05-30T16:54:40Z</dcterms:created>
  <dcterms:modified xsi:type="dcterms:W3CDTF">2026-05-30T16:54:40Z</dcterms:modified>
</cp:coreProperties>
</file>

<file path=docProps/custom.xml><?xml version="1.0" encoding="utf-8"?>
<Properties xmlns="http://schemas.openxmlformats.org/officeDocument/2006/custom-properties" xmlns:vt="http://schemas.openxmlformats.org/officeDocument/2006/docPropsVTypes"/>
</file>