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hoegwgnqlp</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hoegwgnqlp</w:t>
      </w:r>
    </w:p>
    <w:p>
      <w:pPr>
        <w:pStyle w:val="BodyText"/>
      </w:pPr>
      <w:r>
        <w:rPr>
          <w:bCs/>
          <w:b/>
        </w:rPr>
        <w:t xml:space="preserve">Company Name:</w:t>
      </w:r>
      <w:r>
        <w:t xml:space="preserve"> </w:t>
      </w:r>
      <w:r>
        <w:t xml:space="preserve">ifihergwlg</w:t>
      </w:r>
    </w:p>
    <w:p>
      <w:pPr>
        <w:pStyle w:val="BodyText"/>
      </w:pPr>
      <w:r>
        <w:rPr>
          <w:bCs/>
          <w:b/>
        </w:rPr>
        <w:t xml:space="preserve">Senior Sustainability Consultant:</w:t>
      </w:r>
      <w:r>
        <w:t xml:space="preserve"> </w:t>
      </w:r>
      <w:r>
        <w:t xml:space="preserve">iyzzisyokr</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incorporating illustrative values for placeholders as specified. Actual results may vary with specific primary data.</w:t>
      </w:r>
    </w:p>
    <w:bookmarkEnd w:id="20"/>
    <w:p>
      <w:pPr>
        <w:pStyle w:val="BodyText"/>
      </w:pPr>
      <w:r>
        <w:t xml:space="preserve">Product Carbon Footprint Report for hoegwgnqlp | Generated Date: May 25, 2026</w:t>
      </w:r>
    </w:p>
    <w:bookmarkStart w:id="21" w:name="executive-summary"/>
    <w:p>
      <w:pPr>
        <w:pStyle w:val="Heading1"/>
      </w:pPr>
      <w:r>
        <w:t xml:space="preserve">Executive Summary</w:t>
      </w:r>
    </w:p>
    <w:p>
      <w:pPr>
        <w:pStyle w:val="FirstParagraph"/>
      </w:pPr>
      <w:r>
        <w:t xml:space="preserve">This document presents a comprehensive Product Carbon Footprint (PCF) analysis for the product</w:t>
      </w:r>
      <w:r>
        <w:t xml:space="preserve"> </w:t>
      </w:r>
      <w:r>
        <w:rPr>
          <w:bCs/>
          <w:b/>
        </w:rPr>
        <w:t xml:space="preserve">hoegwgnqlp</w:t>
      </w:r>
      <w:r>
        <w:t xml:space="preserve"> </w:t>
      </w:r>
      <w:r>
        <w:t xml:space="preserve">manufactured by</w:t>
      </w:r>
      <w:r>
        <w:t xml:space="preserve"> </w:t>
      </w:r>
      <w:r>
        <w:rPr>
          <w:bCs/>
          <w:b/>
        </w:rPr>
        <w:t xml:space="preserve">ifihergwlg</w:t>
      </w:r>
      <w:r>
        <w:t xml:space="preserve">. The analysis, conducted by</w:t>
      </w:r>
      <w:r>
        <w:t xml:space="preserve"> </w:t>
      </w:r>
      <w:r>
        <w:rPr>
          <w:bCs/>
          <w:b/>
        </w:rPr>
        <w:t xml:space="preserve">iyzzisyokr</w:t>
      </w:r>
      <w:r>
        <w:t xml:space="preserve">, a Senior Sustainability Consultant specializing in GHG Protocol, adheres strictly to the GHG Protocol accounting standard, including considerations for the 2026 Land Sector and Removals (LSR) update and stringent Scope 3 compliance requirements.</w:t>
      </w:r>
    </w:p>
    <w:p>
      <w:pPr>
        <w:pStyle w:val="BodyText"/>
      </w:pPr>
      <w:r>
        <w:t xml:space="preserve">The PCF was calculated based on a cradle-to-gate system boundary, extending to the use and end-of-life phases, with a primary focus on material acquisition, manufacturing, logistics, product use, and end-of-life scenarios. Due to placeholder inputs for certain parameters, illustrative numerical examples are provided to demonstrate the calculation methodology. The total estimated cradle-to-grave PCF for hoegwgnqlp, based on these illustrative figures, is</w:t>
      </w:r>
      <w:r>
        <w:t xml:space="preserve"> </w:t>
      </w:r>
      <w:r>
        <w:rPr>
          <w:bCs/>
          <w:b/>
        </w:rPr>
        <w:t xml:space="preserve">XX kg CO2e per 1.0 unit</w:t>
      </w:r>
      <w:r>
        <w:t xml:space="preserve">, with significant contributions identified in the material acquisition and manufacturing phases.</w:t>
      </w:r>
    </w:p>
    <w:p>
      <w:r>
        <w:pict>
          <v:rect style="width:0;height:1.5pt" o:hralign="center" o:hrstd="t" o:hr="t"/>
        </w:pict>
      </w:r>
    </w:p>
    <w:bookmarkEnd w:id="21"/>
    <w:bookmarkStart w:id="27" w:name="introduction-and-scope-definition"/>
    <w:p>
      <w:pPr>
        <w:pStyle w:val="Heading1"/>
      </w:pPr>
      <w:r>
        <w:t xml:space="preserve">1. Introduction and Scope Definition</w:t>
      </w:r>
    </w:p>
    <w:p>
      <w:pPr>
        <w:pStyle w:val="FirstParagraph"/>
      </w:pPr>
      <w:r>
        <w:t xml:space="preserve">This Product Carbon Footprint (PCF) analysis quantifies the greenhouse gas (GHG) emissions associated with the entire lifecycle of the product</w:t>
      </w:r>
      <w:r>
        <w:t xml:space="preserve"> </w:t>
      </w:r>
      <w:r>
        <w:rPr>
          <w:bCs/>
          <w:b/>
        </w:rPr>
        <w:t xml:space="preserve">hoegwgnqlp</w:t>
      </w:r>
      <w:r>
        <w:t xml:space="preserve">. The primary objective is to identify emission hotspots, provide a baseline for future reduction efforts, and ensure transparency in sustainability reporting for</w:t>
      </w:r>
      <w:r>
        <w:t xml:space="preserve"> </w:t>
      </w:r>
      <w:r>
        <w:rPr>
          <w:bCs/>
          <w:b/>
        </w:rPr>
        <w:t xml:space="preserve">ifihergwlg</w:t>
      </w:r>
      <w:r>
        <w:t xml:space="preserve">.</w:t>
      </w:r>
    </w:p>
    <w:bookmarkStart w:id="22" w:name="functional-unit"/>
    <w:p>
      <w:pPr>
        <w:pStyle w:val="Heading2"/>
      </w:pPr>
      <w:r>
        <w:t xml:space="preserve">1.1 Functional Unit</w:t>
      </w:r>
    </w:p>
    <w:p>
      <w:pPr>
        <w:pStyle w:val="FirstParagraph"/>
      </w:pPr>
      <w:r>
        <w:t xml:space="preserve">The functional unit for this analysis is defined as:</w:t>
      </w:r>
      <w:r>
        <w:t xml:space="preserve"> </w:t>
      </w:r>
      <w:r>
        <w:rPr>
          <w:bCs/>
          <w:b/>
        </w:rPr>
        <w:t xml:space="preserve">1.0 unit of hoegwgnqlp</w:t>
      </w:r>
      <w:r>
        <w:t xml:space="preserve">.</w:t>
      </w:r>
    </w:p>
    <w:bookmarkEnd w:id="22"/>
    <w:bookmarkStart w:id="23" w:name="system-boundary"/>
    <w:p>
      <w:pPr>
        <w:pStyle w:val="Heading2"/>
      </w:pPr>
      <w:r>
        <w:t xml:space="preserve">1.2 System Boundary</w:t>
      </w:r>
    </w:p>
    <w:p>
      <w:pPr>
        <w:pStyle w:val="FirstParagraph"/>
      </w:pPr>
      <w:r>
        <w:t xml:space="preserve">The system boundary for this PCF analysis is "factory_gate", extended to include the use phase and end-of-life (EoL) treatment, following a "cradle-to-grave" approach. This encompasses:</w:t>
      </w:r>
    </w:p>
    <w:p>
      <w:pPr>
        <w:numPr>
          <w:ilvl w:val="0"/>
          <w:numId w:val="1001"/>
        </w:numPr>
        <w:pStyle w:val="Compact"/>
      </w:pPr>
      <w:r>
        <w:rPr>
          <w:bCs/>
          <w:b/>
        </w:rPr>
        <w:t xml:space="preserve">Upstream (Scope 3, Category 1 &amp; 4):</w:t>
      </w:r>
      <w:r>
        <w:t xml:space="preserve"> </w:t>
      </w:r>
      <w:r>
        <w:t xml:space="preserve">Raw material extraction and processing, including detailed Bill of Materials (BOM) impacts. Transportation of raw materials to the manufacturing facility.</w:t>
      </w:r>
    </w:p>
    <w:p>
      <w:pPr>
        <w:numPr>
          <w:ilvl w:val="0"/>
          <w:numId w:val="1001"/>
        </w:numPr>
        <w:pStyle w:val="Compact"/>
      </w:pPr>
      <w:r>
        <w:rPr>
          <w:bCs/>
          <w:b/>
        </w:rPr>
        <w:t xml:space="preserve">Core (Scope 1 &amp; 2):</w:t>
      </w:r>
      <w:r>
        <w:t xml:space="preserve"> </w:t>
      </w:r>
      <w:r>
        <w:t xml:space="preserve">Manufacturing processes at the production facility, including direct emissions (Scope 1) and purchased electricity emissions (Scope 2).</w:t>
      </w:r>
    </w:p>
    <w:p>
      <w:pPr>
        <w:numPr>
          <w:ilvl w:val="0"/>
          <w:numId w:val="1001"/>
        </w:numPr>
        <w:pStyle w:val="Compact"/>
      </w:pPr>
      <w:r>
        <w:rPr>
          <w:bCs/>
          <w:b/>
        </w:rPr>
        <w:t xml:space="preserve">Downstream (Scope 3, Category 9, 11, 12):</w:t>
      </w:r>
      <w:r>
        <w:t xml:space="preserve"> </w:t>
      </w:r>
      <w:r>
        <w:t xml:space="preserve">Transportation of the finished product to the customer, product use phase, and end-of-life treatment.</w:t>
      </w:r>
    </w:p>
    <w:bookmarkEnd w:id="23"/>
    <w:bookmarkStart w:id="24" w:name="geographic-scope"/>
    <w:p>
      <w:pPr>
        <w:pStyle w:val="Heading2"/>
      </w:pPr>
      <w:r>
        <w:t xml:space="preserve">1.3 Geographic Scope</w:t>
      </w:r>
    </w:p>
    <w:p>
      <w:pPr>
        <w:pStyle w:val="FirstParagraph"/>
      </w:pPr>
      <w:r>
        <w:t xml:space="preserve">The geographic scope covers the entire supply chain, with a specific focus:</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 (implying material sourcing and/or distribution channels primarily involve Europe, despite final production in China).</w:t>
      </w:r>
    </w:p>
    <w:bookmarkEnd w:id="24"/>
    <w:bookmarkStart w:id="25" w:name="accounting-standard"/>
    <w:p>
      <w:pPr>
        <w:pStyle w:val="Heading2"/>
      </w:pPr>
      <w:r>
        <w:t xml:space="preserve">1.4 Accounting Standard</w:t>
      </w:r>
    </w:p>
    <w:p>
      <w:pPr>
        <w:pStyle w:val="FirstParagraph"/>
      </w:pPr>
      <w:r>
        <w:t xml:space="preserve">This PCF analysis is conducted in strict accordance with the</w:t>
      </w:r>
      <w:r>
        <w:t xml:space="preserve"> </w:t>
      </w:r>
      <w:r>
        <w:rPr>
          <w:bCs/>
          <w:b/>
        </w:rPr>
        <w:t xml:space="preserve">GHG Protocol Product Standard</w:t>
      </w:r>
      <w:r>
        <w:t xml:space="preserve">. All emissions are categorized into Scope 1 (direct emissions), Scope 2 (purchased electricity), and Scope 3 (all other indirect emissions in the value chain). Special attention is given to the 2026 Land Sector and Removals (LSR) Standard for land use and carbon removals, and ensuring at least 95% coverage for Scope 3 reporting, as per 2026 requirements.</w:t>
      </w:r>
    </w:p>
    <w:bookmarkEnd w:id="25"/>
    <w:bookmarkStart w:id="26" w:name="allocation"/>
    <w:p>
      <w:pPr>
        <w:pStyle w:val="Heading2"/>
      </w:pPr>
      <w:r>
        <w:t xml:space="preserve">1.5 Allocation</w:t>
      </w:r>
    </w:p>
    <w:p>
      <w:pPr>
        <w:pStyle w:val="FirstParagraph"/>
      </w:pPr>
      <w:r>
        <w:t xml:space="preserve">Emissions are allocated to the functional unit based on mass for material inputs and energy consumption directly attributable to the production of one unit of hoegwgnqlp.</w:t>
      </w:r>
    </w:p>
    <w:p>
      <w:r>
        <w:pict>
          <v:rect style="width:0;height:1.5pt" o:hralign="center" o:hrstd="t" o:hr="t"/>
        </w:pict>
      </w:r>
    </w:p>
    <w:bookmarkEnd w:id="26"/>
    <w:bookmarkEnd w:id="27"/>
    <w:bookmarkStart w:id="33" w:name="lifecycle-mapping-and-3.-data-collection"/>
    <w:p>
      <w:pPr>
        <w:pStyle w:val="Heading1"/>
      </w:pPr>
      <w:r>
        <w:t xml:space="preserve">2. Lifecycle Mapping and 3. Data Collection</w:t>
      </w:r>
    </w:p>
    <w:p>
      <w:pPr>
        <w:pStyle w:val="FirstParagraph"/>
      </w:pPr>
      <w:r>
        <w:t xml:space="preserve">This section details the lifecycle stages of hoegwgnqlp and the data collected for emission quantification. Due to the placeholder nature of several input parameters (e.g., gmednffq, Select Mode, oujtevlxui, Delivery Type, hmpirhlfdp, kkhzytexxq, xknepgvsky, ysrxyyplfm, evlfgqmqjw, lwymegevil), illustrative values and industry-standard emission factors from sources like Ecoinvent/DEFRA are used to demonstrate the methodology and calculation process.</w:t>
      </w:r>
    </w:p>
    <w:bookmarkStart w:id="28" w:name="X5438676cbbfc16d233369ca044a35313447161c"/>
    <w:p>
      <w:pPr>
        <w:pStyle w:val="Heading2"/>
      </w:pPr>
      <w:r>
        <w:t xml:space="preserve">2.1 Bill of Materials (BOM) Analysis (Scope 3 - Upstream)</w:t>
      </w:r>
    </w:p>
    <w:p>
      <w:pPr>
        <w:pStyle w:val="FirstParagraph"/>
      </w:pPr>
      <w:r>
        <w:t xml:space="preserve">The Detailed Bill of Materials (BOM) for hoegwgnqlp, provided as "gmednffq," is crucial for high-accuracy material impact calculation. For the purpose of this report, we will use an illustrative BOM that follows the specified format (ID, Description, Category, Process, Qty, Unit, Emission Factor, Total Carbon). The emission factors are indicative and based on general industry averages for primary material production.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Illustrative 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M002</w:t>
            </w:r>
          </w:p>
        </w:tc>
        <w:tc>
          <w:tcPr/>
          <w:p>
            <w:pPr>
              <w:pStyle w:val="Compact"/>
              <w:jc w:val="left"/>
            </w:pPr>
            <w:r>
              <w:t xml:space="preserve">Aluminum Frame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14.77</w:t>
            </w:r>
          </w:p>
        </w:tc>
        <w:tc>
          <w:tcPr/>
          <w:p>
            <w:pPr>
              <w:pStyle w:val="Compact"/>
              <w:jc w:val="left"/>
            </w:pPr>
            <w:r>
              <w:t xml:space="preserve">2.954</w:t>
            </w:r>
          </w:p>
        </w:tc>
      </w:tr>
      <w:tr>
        <w:tc>
          <w:tcPr/>
          <w:p>
            <w:pPr>
              <w:pStyle w:val="Compact"/>
              <w:jc w:val="left"/>
            </w:pPr>
            <w:r>
              <w:t xml:space="preserve">M003</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24.865</w:t>
            </w:r>
          </w:p>
        </w:tc>
        <w:tc>
          <w:tcPr/>
          <w:p>
            <w:pPr>
              <w:pStyle w:val="Compact"/>
              <w:jc w:val="left"/>
            </w:pPr>
            <w:r>
              <w:t xml:space="preserve">2.4865</w:t>
            </w:r>
          </w:p>
        </w:tc>
      </w:tr>
      <w:tr>
        <w:tc>
          <w:tcPr/>
          <w:p>
            <w:pPr>
              <w:pStyle w:val="Compact"/>
              <w:jc w:val="left"/>
            </w:pPr>
            <w:r>
              <w:t xml:space="preserve">M004</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Forming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1.0</w:t>
            </w:r>
          </w:p>
        </w:tc>
        <w:tc>
          <w:tcPr/>
          <w:p>
            <w:pPr>
              <w:pStyle w:val="Compact"/>
              <w:jc w:val="left"/>
            </w:pPr>
            <w:r>
              <w:t xml:space="preserve">0.3</w:t>
            </w:r>
          </w:p>
        </w:tc>
      </w:tr>
    </w:tbl>
    <w:p>
      <w:pPr>
        <w:pStyle w:val="BodyText"/>
      </w:pPr>
      <w:r>
        <w:rPr>
          <w:bCs/>
          <w:b/>
        </w:rPr>
        <w:t xml:space="preserve">Total Illustrative Material Emissions:</w:t>
      </w:r>
      <w:r>
        <w:t xml:space="preserve"> </w:t>
      </w:r>
      <w:r>
        <w:t xml:space="preserve">1.25 + 2.954 + 2.4865 + 0.3 =</w:t>
      </w:r>
      <w:r>
        <w:t xml:space="preserve"> </w:t>
      </w:r>
      <w:r>
        <w:rPr>
          <w:bCs/>
          <w:b/>
        </w:rPr>
        <w:t xml:space="preserve">6.9905 kg CO2e</w:t>
      </w:r>
    </w:p>
    <w:bookmarkEnd w:id="28"/>
    <w:bookmarkStart w:id="29" w:name="X0de1e59f936c829160fc9c2ed7a2d2df0fda907"/>
    <w:p>
      <w:pPr>
        <w:pStyle w:val="Heading2"/>
      </w:pPr>
      <w:r>
        <w:t xml:space="preserve">2.2 Manufacturing Energy Consumption (Scope 1 &amp; 2)</w:t>
      </w:r>
    </w:p>
    <w:p>
      <w:pPr>
        <w:pStyle w:val="FirstParagraph"/>
      </w:pPr>
      <w:r>
        <w:t xml:space="preserve">The production phase footprint is calculated using specific energy customization data. For</w:t>
      </w:r>
      <w:r>
        <w:t xml:space="preserve"> </w:t>
      </w:r>
      <w:r>
        <w:rPr>
          <w:bCs/>
          <w:b/>
        </w:rPr>
        <w:t xml:space="preserve">ifihergwlg</w:t>
      </w:r>
      <w:r>
        <w:t xml:space="preserve">, the following illustrative parameters are used:</w:t>
      </w:r>
    </w:p>
    <w:p>
      <w:pPr>
        <w:numPr>
          <w:ilvl w:val="0"/>
          <w:numId w:val="1003"/>
        </w:numPr>
        <w:pStyle w:val="Compact"/>
      </w:pPr>
      <w:r>
        <w:rPr>
          <w:bCs/>
          <w:b/>
        </w:rPr>
        <w:t xml:space="preserve">Renewable Energy Usage (hmpirhlfdp):</w:t>
      </w:r>
      <w:r>
        <w:t xml:space="preserve"> </w:t>
      </w:r>
      <w:r>
        <w:t xml:space="preserve">Assumed 60% Renewable Energy [Illustrative]</w:t>
      </w:r>
    </w:p>
    <w:p>
      <w:pPr>
        <w:numPr>
          <w:ilvl w:val="0"/>
          <w:numId w:val="1003"/>
        </w:numPr>
        <w:pStyle w:val="Compact"/>
      </w:pPr>
      <w:r>
        <w:rPr>
          <w:bCs/>
          <w:b/>
        </w:rPr>
        <w:t xml:space="preserve">Energy Intensity (kWh/unit - kkhzytexxq):</w:t>
      </w:r>
      <w:r>
        <w:t xml:space="preserve"> </w:t>
      </w:r>
      <w:r>
        <w:t xml:space="preserve">Assumed 2.5 kWh/unit [Illustrative]</w:t>
      </w:r>
    </w:p>
    <w:p>
      <w:pPr>
        <w:pStyle w:val="FirstParagraph"/>
      </w:pPr>
      <w:r>
        <w:t xml:space="preserve">Given the final production country is China, the location-based grid electricity emission factor for China is used as a baseline for non-renewable energy. The national average electricity carbon footprint factor for China is approximately 0.6205 kg CO2e/kWh (2023). For renewable energy, an illustrative factor of 0.03 kg CO2e/kWh is used to represent low-carbon generation.</w:t>
      </w:r>
    </w:p>
    <w:bookmarkEnd w:id="29"/>
    <w:bookmarkStart w:id="30" w:name="Xcb9c2fe2fe34adcd0129614d083328f0f0256af"/>
    <w:p>
      <w:pPr>
        <w:pStyle w:val="Heading2"/>
      </w:pPr>
      <w:r>
        <w:t xml:space="preserve">2.3 Logistics and Distribution (Scope 3 - Upstream &amp; Downstream)</w:t>
      </w:r>
    </w:p>
    <w:p>
      <w:pPr>
        <w:pStyle w:val="FirstParagraph"/>
      </w:pPr>
      <w:r>
        <w:t xml:space="preserve">The supply chain analysis incorporates specific logistics data. The geographic scope indicates a supply chain focus on Europe, with final production in China.</w:t>
      </w:r>
    </w:p>
    <w:p>
      <w:pPr>
        <w:numPr>
          <w:ilvl w:val="0"/>
          <w:numId w:val="1004"/>
        </w:numPr>
        <w:pStyle w:val="Compact"/>
      </w:pPr>
      <w:r>
        <w:rPr>
          <w:bCs/>
          <w:b/>
        </w:rPr>
        <w:t xml:space="preserve">Transport Mode (Select Mode):</w:t>
      </w:r>
      <w:r>
        <w:t xml:space="preserve"> </w:t>
      </w:r>
      <w:r>
        <w:t xml:space="preserve">Assumed Ocean Freight from China to Europe, then Road Freight within Europe. [Illustrative]</w:t>
      </w:r>
    </w:p>
    <w:p>
      <w:pPr>
        <w:numPr>
          <w:ilvl w:val="0"/>
          <w:numId w:val="1004"/>
        </w:numPr>
        <w:pStyle w:val="Compact"/>
      </w:pPr>
      <w:r>
        <w:rPr>
          <w:bCs/>
          <w:b/>
        </w:rPr>
        <w:t xml:space="preserve">Transport Distance (oujtevlxui):</w:t>
      </w:r>
      <w:r>
        <w:t xml:space="preserve"> </w:t>
      </w:r>
      <w:r>
        <w:t xml:space="preserve">Assumed 10,000 km for Ocean Freight (China to major European port) and 500 km for Road Freight (within Europe). [Illustrative]</w:t>
      </w:r>
    </w:p>
    <w:p>
      <w:pPr>
        <w:numPr>
          <w:ilvl w:val="0"/>
          <w:numId w:val="1004"/>
        </w:numPr>
        <w:pStyle w:val="Compact"/>
      </w:pPr>
      <w:r>
        <w:rPr>
          <w:bCs/>
          <w:b/>
        </w:rPr>
        <w:t xml:space="preserve">Last-Mile Delivery Channel (Delivery Type):</w:t>
      </w:r>
      <w:r>
        <w:t xml:space="preserve"> </w:t>
      </w:r>
      <w:r>
        <w:t xml:space="preserve">Assumed Road Van. [Illustrative]</w:t>
      </w:r>
    </w:p>
    <w:p>
      <w:pPr>
        <w:pStyle w:val="FirstParagraph"/>
      </w:pPr>
      <w:r>
        <w:t xml:space="preserve">Illustrative emission factors:</w:t>
      </w:r>
    </w:p>
    <w:p>
      <w:pPr>
        <w:numPr>
          <w:ilvl w:val="0"/>
          <w:numId w:val="1005"/>
        </w:numPr>
        <w:pStyle w:val="Compact"/>
      </w:pPr>
      <w:r>
        <w:t xml:space="preserve">Ocean Freight (container ship): 0.016 kg CO2e/tonne-km</w:t>
      </w:r>
    </w:p>
    <w:p>
      <w:pPr>
        <w:numPr>
          <w:ilvl w:val="0"/>
          <w:numId w:val="1005"/>
        </w:numPr>
        <w:pStyle w:val="Compact"/>
      </w:pPr>
      <w:r>
        <w:t xml:space="preserve">Road Freight (heavy goods truck): 0.1 kg CO2e/tonne-km [Illustrative, based on general road freight factors like 0.105 kg/tonne-km from, or average ranges from]</w:t>
      </w:r>
    </w:p>
    <w:p>
      <w:pPr>
        <w:pStyle w:val="FirstParagraph"/>
      </w:pPr>
      <w:r>
        <w:t xml:space="preserve">Assuming a product weight of 1.0 kg per functional unit for transport calculations, for simplicity and to align with the functional unit, although product weight is typically higher than 1kg.</w:t>
      </w:r>
    </w:p>
    <w:bookmarkEnd w:id="30"/>
    <w:bookmarkStart w:id="31" w:name="use-phase-scope-3---downstream"/>
    <w:p>
      <w:pPr>
        <w:pStyle w:val="Heading2"/>
      </w:pPr>
      <w:r>
        <w:t xml:space="preserve">2.4 Use Phase (Scope 3 - Downstream)</w:t>
      </w:r>
    </w:p>
    <w:p>
      <w:pPr>
        <w:pStyle w:val="FirstParagraph"/>
      </w:pPr>
      <w:r>
        <w:t xml:space="preserve">The use phase calculation is expanded using specific durability and consumption data:</w:t>
      </w:r>
    </w:p>
    <w:p>
      <w:pPr>
        <w:numPr>
          <w:ilvl w:val="0"/>
          <w:numId w:val="1006"/>
        </w:numPr>
        <w:pStyle w:val="Compact"/>
      </w:pPr>
      <w:r>
        <w:rPr>
          <w:bCs/>
          <w:b/>
        </w:rPr>
        <w:t xml:space="preserve">Product Lifespan (xknepgvsky):</w:t>
      </w:r>
      <w:r>
        <w:t xml:space="preserve"> </w:t>
      </w:r>
      <w:r>
        <w:t xml:space="preserve">Assumed 5 years [Illustrative]</w:t>
      </w:r>
    </w:p>
    <w:p>
      <w:pPr>
        <w:numPr>
          <w:ilvl w:val="0"/>
          <w:numId w:val="1006"/>
        </w:numPr>
        <w:pStyle w:val="Compact"/>
      </w:pPr>
      <w:r>
        <w:rPr>
          <w:bCs/>
          <w:b/>
        </w:rPr>
        <w:t xml:space="preserve">Energy Consumption in Use (ysrxyyplfm):</w:t>
      </w:r>
      <w:r>
        <w:t xml:space="preserve"> </w:t>
      </w:r>
      <w:r>
        <w:t xml:space="preserve">Assumed 10 kWh/year [Illustrative]</w:t>
      </w:r>
    </w:p>
    <w:p>
      <w:pPr>
        <w:pStyle w:val="FirstParagraph"/>
      </w:pPr>
      <w:r>
        <w:t xml:space="preserve">Electricity consumption during the use phase is typically location-dependent; for this analysis, we will use an average European grid mix factor, illustratively 0.3 kg CO2e/kWh, as the supply chain focus is Europe. If detailed country-specific use locations were known, more precise grid factors would be applied.</w:t>
      </w:r>
    </w:p>
    <w:bookmarkEnd w:id="31"/>
    <w:bookmarkStart w:id="32" w:name="X2449e76f36fce2c9fec3c701a472f020b80894d"/>
    <w:p>
      <w:pPr>
        <w:pStyle w:val="Heading2"/>
      </w:pPr>
      <w:r>
        <w:t xml:space="preserve">2.5 End-of-Life (EoL) Scenarios (Scope 3 - Downstream)</w:t>
      </w:r>
    </w:p>
    <w:p>
      <w:pPr>
        <w:pStyle w:val="FirstParagraph"/>
      </w:pPr>
      <w:r>
        <w:t xml:space="preserve">End-of-Life impacts reflect circular economy principles:</w:t>
      </w:r>
    </w:p>
    <w:p>
      <w:pPr>
        <w:numPr>
          <w:ilvl w:val="0"/>
          <w:numId w:val="1007"/>
        </w:numPr>
        <w:pStyle w:val="Compact"/>
      </w:pPr>
      <w:r>
        <w:rPr>
          <w:bCs/>
          <w:b/>
        </w:rPr>
        <w:t xml:space="preserve">Recyclability Percentage (evlfgqmqjw):</w:t>
      </w:r>
      <w:r>
        <w:t xml:space="preserve"> </w:t>
      </w:r>
      <w:r>
        <w:t xml:space="preserve">Assumed 75% recyclability [Illustrative]</w:t>
      </w:r>
    </w:p>
    <w:p>
      <w:pPr>
        <w:numPr>
          <w:ilvl w:val="0"/>
          <w:numId w:val="1007"/>
        </w:numPr>
        <w:pStyle w:val="Compact"/>
      </w:pPr>
      <w:r>
        <w:rPr>
          <w:bCs/>
          <w:b/>
        </w:rPr>
        <w:t xml:space="preserve">Circular/Take-back Programs (lwymegevil):</w:t>
      </w:r>
      <w:r>
        <w:t xml:space="preserve"> </w:t>
      </w:r>
      <w:r>
        <w:t xml:space="preserve">Existence of circular/take-back programs is noted. [Illustrative]</w:t>
      </w:r>
    </w:p>
    <w:p>
      <w:pPr>
        <w:pStyle w:val="FirstParagraph"/>
      </w:pPr>
      <w:r>
        <w:t xml:space="preserve">The benefit of recycling (avoided emissions) or the burden of disposal is calculated based on the recyclability percentage. For the remaining non-recycled portion, landfill or incineration emissions would be considered. Given 75% recyclability, we assume a credit for recycled materials or reduced burden compared to virgin material production, and a burden for the remaining 25% waste.</w:t>
      </w:r>
    </w:p>
    <w:p>
      <w:r>
        <w:pict>
          <v:rect style="width:0;height:1.5pt" o:hralign="center" o:hrstd="t" o:hr="t"/>
        </w:pict>
      </w:r>
    </w:p>
    <w:bookmarkEnd w:id="32"/>
    <w:bookmarkEnd w:id="33"/>
    <w:bookmarkStart w:id="44" w:name="X41e29fe20f48223bdb9d6dc3b0411cd59e62b65"/>
    <w:p>
      <w:pPr>
        <w:pStyle w:val="Heading1"/>
      </w:pPr>
      <w:r>
        <w:t xml:space="preserve">4. Emissions Calculation and Hotspot Analysis</w:t>
      </w:r>
    </w:p>
    <w:p>
      <w:pPr>
        <w:pStyle w:val="FirstParagraph"/>
      </w:pPr>
      <w:r>
        <w:t xml:space="preserve">This section details the calculation of emissions for each lifecycle stage, categorized according to the GHG Protocol (Scope 1, 2, 3), using the illustrative data and emission factors identified in the previous sections.</w:t>
      </w:r>
    </w:p>
    <w:bookmarkStart w:id="34" w:name="Xb1cce708b7a39dc2644cb406f806da4d230c830"/>
    <w:p>
      <w:pPr>
        <w:pStyle w:val="Heading2"/>
      </w:pPr>
      <w:r>
        <w:t xml:space="preserve">4.1 Material Emissions (Scope 3 - Upstream, Category 1)</w:t>
      </w:r>
    </w:p>
    <w:p>
      <w:pPr>
        <w:pStyle w:val="FirstParagraph"/>
      </w:pPr>
      <w:r>
        <w:t xml:space="preserve">Based on the illustrative BOM:</w:t>
      </w:r>
    </w:p>
    <w:p>
      <w:pPr>
        <w:pStyle w:val="BodyText"/>
      </w:pPr>
      <w:r>
        <w:rPr>
          <w:bCs/>
          <w:b/>
        </w:rPr>
        <w:t xml:space="preserve">Total Material Emissions = 6.9905 kg CO2e per unit.</w:t>
      </w:r>
    </w:p>
    <w:p>
      <w:pPr>
        <w:pStyle w:val="BodyText"/>
      </w:pPr>
      <w:r>
        <w:t xml:space="preserve">This falls under Scope 3, Category 1 (Purchased goods and services).</w:t>
      </w:r>
    </w:p>
    <w:bookmarkEnd w:id="34"/>
    <w:bookmarkStart w:id="35" w:name="production-emissions-scope-1-2"/>
    <w:p>
      <w:pPr>
        <w:pStyle w:val="Heading2"/>
      </w:pPr>
      <w:r>
        <w:t xml:space="preserve">4.2 Production Emissions (Scope 1 &amp; 2)</w:t>
      </w:r>
    </w:p>
    <w:p>
      <w:pPr>
        <w:numPr>
          <w:ilvl w:val="0"/>
          <w:numId w:val="1008"/>
        </w:numPr>
        <w:pStyle w:val="Compact"/>
      </w:pPr>
      <w:r>
        <w:rPr>
          <w:bCs/>
          <w:b/>
        </w:rPr>
        <w:t xml:space="preserve">Total Energy Consumption:</w:t>
      </w:r>
      <w:r>
        <w:t xml:space="preserve"> </w:t>
      </w:r>
      <w:r>
        <w:t xml:space="preserve">2.5 kWh/unit [Illustrative]</w:t>
      </w:r>
    </w:p>
    <w:p>
      <w:pPr>
        <w:numPr>
          <w:ilvl w:val="0"/>
          <w:numId w:val="1008"/>
        </w:numPr>
        <w:pStyle w:val="Compact"/>
      </w:pPr>
      <w:r>
        <w:rPr>
          <w:bCs/>
          <w:b/>
        </w:rPr>
        <w:t xml:space="preserve">Renewable Energy Usage:</w:t>
      </w:r>
      <w:r>
        <w:t xml:space="preserve"> </w:t>
      </w:r>
      <w:r>
        <w:t xml:space="preserve">60%</w:t>
      </w:r>
    </w:p>
    <w:p>
      <w:pPr>
        <w:numPr>
          <w:ilvl w:val="0"/>
          <w:numId w:val="1008"/>
        </w:numPr>
        <w:pStyle w:val="Compact"/>
      </w:pPr>
      <w:r>
        <w:rPr>
          <w:bCs/>
          <w:b/>
        </w:rPr>
        <w:t xml:space="preserve">Non-Renewable Energy Usage:</w:t>
      </w:r>
      <w:r>
        <w:t xml:space="preserve"> </w:t>
      </w:r>
      <w:r>
        <w:t xml:space="preserve">40%</w:t>
      </w:r>
    </w:p>
    <w:p>
      <w:pPr>
        <w:numPr>
          <w:ilvl w:val="0"/>
          <w:numId w:val="1008"/>
        </w:numPr>
        <w:pStyle w:val="Compact"/>
      </w:pPr>
      <w:r>
        <w:rPr>
          <w:bCs/>
          <w:b/>
        </w:rPr>
        <w:t xml:space="preserve">Non-Renewable Electricity (China Grid Factor):</w:t>
      </w:r>
      <w:r>
        <w:t xml:space="preserve"> </w:t>
      </w:r>
      <w:r>
        <w:t xml:space="preserve">0.6205 kg CO2e/kWh</w:t>
      </w:r>
    </w:p>
    <w:p>
      <w:pPr>
        <w:numPr>
          <w:ilvl w:val="0"/>
          <w:numId w:val="1008"/>
        </w:numPr>
        <w:pStyle w:val="Compact"/>
      </w:pPr>
      <w:r>
        <w:rPr>
          <w:bCs/>
          <w:b/>
        </w:rPr>
        <w:t xml:space="preserve">Renewable Electricity Factor (Illustrative):</w:t>
      </w:r>
      <w:r>
        <w:t xml:space="preserve"> </w:t>
      </w:r>
      <w:r>
        <w:t xml:space="preserve">0.03 kg CO2e/kWh</w:t>
      </w:r>
    </w:p>
    <w:p>
      <w:pPr>
        <w:pStyle w:val="FirstParagraph"/>
      </w:pPr>
      <w:r>
        <w:rPr>
          <w:bCs/>
          <w:b/>
        </w:rPr>
        <w:t xml:space="preserve">Scope 2 Emissions:</w:t>
      </w:r>
    </w:p>
    <w:p>
      <w:pPr>
        <w:numPr>
          <w:ilvl w:val="0"/>
          <w:numId w:val="1009"/>
        </w:numPr>
        <w:pStyle w:val="Compact"/>
      </w:pPr>
      <w:r>
        <w:t xml:space="preserve">Renewable Electricity Emissions: 2.5 kWh/unit * 0.60 * 0.03 kg CO2e/kWh = 0.045 kg CO2e</w:t>
      </w:r>
    </w:p>
    <w:p>
      <w:pPr>
        <w:numPr>
          <w:ilvl w:val="0"/>
          <w:numId w:val="1009"/>
        </w:numPr>
        <w:pStyle w:val="Compact"/>
      </w:pPr>
      <w:r>
        <w:t xml:space="preserve">Non-Renewable Electricity Emissions: 2.5 kWh/unit * 0.40 * 0.6205 kg CO2e/kWh = 0.6205 kg CO2e</w:t>
      </w:r>
    </w:p>
    <w:p>
      <w:pPr>
        <w:numPr>
          <w:ilvl w:val="0"/>
          <w:numId w:val="1009"/>
        </w:numPr>
        <w:pStyle w:val="Compact"/>
      </w:pPr>
      <w:r>
        <w:rPr>
          <w:bCs/>
          <w:b/>
        </w:rPr>
        <w:t xml:space="preserve">Total Scope 2 Emissions:</w:t>
      </w:r>
      <w:r>
        <w:t xml:space="preserve"> </w:t>
      </w:r>
      <w:r>
        <w:t xml:space="preserve">0.045 + 0.6205 =</w:t>
      </w:r>
      <w:r>
        <w:t xml:space="preserve"> </w:t>
      </w:r>
      <w:r>
        <w:rPr>
          <w:bCs/>
          <w:b/>
        </w:rPr>
        <w:t xml:space="preserve">0.6655 kg CO2e per unit.</w:t>
      </w:r>
    </w:p>
    <w:p>
      <w:pPr>
        <w:pStyle w:val="FirstParagraph"/>
      </w:pPr>
      <w:r>
        <w:rPr>
          <w:bCs/>
          <w:b/>
        </w:rPr>
        <w:t xml:space="preserve">Scope 1 Emissions:</w:t>
      </w:r>
      <w:r>
        <w:t xml:space="preserve"> </w:t>
      </w:r>
      <w:r>
        <w:t xml:space="preserve">(Direct emissions from on-site fuel combustion or processes).</w:t>
      </w:r>
      <w:r>
        <w:t xml:space="preserve"> </w:t>
      </w:r>
      <w:r>
        <w:t xml:space="preserve">Assuming negligible Scope 1 emissions for manufacturing processes at the factory gate for hoegwgnqlp, or included in energy intensity if not specified. For a truly high-detail report, process emissions would be detailed here. For this illustrative scenario, we\'ll assume Scope 1 is minimal or captured implicitly by the \'factory_gate\' boundary focus on energy and materials.</w:t>
      </w:r>
    </w:p>
    <w:bookmarkEnd w:id="35"/>
    <w:bookmarkStart w:id="38" w:name="X648f7263101fb5200be06652b2cd0820b9ef64f"/>
    <w:p>
      <w:pPr>
        <w:pStyle w:val="Heading2"/>
      </w:pPr>
      <w:r>
        <w:t xml:space="preserve">4.3 Transport Emissions (Scope 3 - Upstream &amp; Downstream, Category 4 &amp; 9)</w:t>
      </w:r>
    </w:p>
    <w:p>
      <w:pPr>
        <w:pStyle w:val="FirstParagraph"/>
      </w:pPr>
      <w:r>
        <w:t xml:space="preserve">Assuming a product weight of 1.0 kg (0.001 tonne) for consistency with the functional unit and illustrative calculations, although packaging weight will add to this in reality.</w:t>
      </w:r>
    </w:p>
    <w:bookmarkStart w:id="36" w:name="X8b09c3cab9eee7defbb6ead1ce88cc924647598"/>
    <w:p>
      <w:pPr>
        <w:pStyle w:val="Heading3"/>
      </w:pPr>
      <w:r>
        <w:t xml:space="preserve">4.3.1 Upstream Transport (Raw Materials to Factory - Included in Material EFs typically, or separately if specified)</w:t>
      </w:r>
    </w:p>
    <w:p>
      <w:pPr>
        <w:pStyle w:val="FirstParagraph"/>
      </w:pPr>
      <w:r>
        <w:t xml:space="preserve">The BOM emission factors often include cradle-to-gate transport of raw materials. If not, this would be a separate calculation based on raw material origin and transport modes. For simplicity, we assume the BOM EFs largely cover this. A separate calculation for raw material transport is not explicitly requested with specific data, so it\'s noted as implicitly included or minimal for the scope of this illustrative report.</w:t>
      </w:r>
    </w:p>
    <w:bookmarkEnd w:id="36"/>
    <w:bookmarkStart w:id="37" w:name="X7b856da2a36f947a35109530d2dbd44fb9f07b5"/>
    <w:p>
      <w:pPr>
        <w:pStyle w:val="Heading3"/>
      </w:pPr>
      <w:r>
        <w:t xml:space="preserve">4.3.2 Downstream Transport (Finished Product from Factory to Customer)</w:t>
      </w:r>
    </w:p>
    <w:p>
      <w:pPr>
        <w:numPr>
          <w:ilvl w:val="0"/>
          <w:numId w:val="1010"/>
        </w:numPr>
        <w:pStyle w:val="Compact"/>
      </w:pPr>
      <w:r>
        <w:rPr>
          <w:bCs/>
          <w:b/>
        </w:rPr>
        <w:t xml:space="preserve">Ocean Freight (China to Europe):</w:t>
      </w:r>
    </w:p>
    <w:p>
      <w:pPr>
        <w:numPr>
          <w:ilvl w:val="1"/>
          <w:numId w:val="1011"/>
        </w:numPr>
        <w:pStyle w:val="Compact"/>
      </w:pPr>
      <w:r>
        <w:t xml:space="preserve">Distance: 10,000 km [Illustrative]</w:t>
      </w:r>
    </w:p>
    <w:p>
      <w:pPr>
        <w:numPr>
          <w:ilvl w:val="1"/>
          <w:numId w:val="1011"/>
        </w:numPr>
        <w:pStyle w:val="Compact"/>
      </w:pPr>
      <w:r>
        <w:t xml:space="preserve">Weight: 0.001 tonne (1 kg)</w:t>
      </w:r>
    </w:p>
    <w:p>
      <w:pPr>
        <w:numPr>
          <w:ilvl w:val="1"/>
          <w:numId w:val="1011"/>
        </w:numPr>
        <w:pStyle w:val="Compact"/>
      </w:pPr>
      <w:r>
        <w:t xml:space="preserve">Emission Factor: 0.016 kg CO2e/tonne-km</w:t>
      </w:r>
    </w:p>
    <w:p>
      <w:pPr>
        <w:numPr>
          <w:ilvl w:val="1"/>
          <w:numId w:val="1011"/>
        </w:numPr>
        <w:pStyle w:val="Compact"/>
      </w:pPr>
      <w:r>
        <w:t xml:space="preserve">Emissions: 0.001 tonne * 10,000 km * 0.016 kg CO2e/tonne-km = 0.16 kg CO2e</w:t>
      </w:r>
    </w:p>
    <w:p>
      <w:pPr>
        <w:numPr>
          <w:ilvl w:val="0"/>
          <w:numId w:val="1010"/>
        </w:numPr>
        <w:pStyle w:val="Compact"/>
      </w:pPr>
      <w:r>
        <w:rPr>
          <w:bCs/>
          <w:b/>
        </w:rPr>
        <w:t xml:space="preserve">Road Freight (European Distribution):</w:t>
      </w:r>
    </w:p>
    <w:p>
      <w:pPr>
        <w:numPr>
          <w:ilvl w:val="1"/>
          <w:numId w:val="1012"/>
        </w:numPr>
        <w:pStyle w:val="Compact"/>
      </w:pPr>
      <w:r>
        <w:t xml:space="preserve">Distance: 500 km [Illustrative]</w:t>
      </w:r>
    </w:p>
    <w:p>
      <w:pPr>
        <w:numPr>
          <w:ilvl w:val="1"/>
          <w:numId w:val="1012"/>
        </w:numPr>
        <w:pStyle w:val="Compact"/>
      </w:pPr>
      <w:r>
        <w:t xml:space="preserve">Weight: 0.001 tonne (1 kg)</w:t>
      </w:r>
    </w:p>
    <w:p>
      <w:pPr>
        <w:numPr>
          <w:ilvl w:val="1"/>
          <w:numId w:val="1012"/>
        </w:numPr>
        <w:pStyle w:val="Compact"/>
      </w:pPr>
      <w:r>
        <w:t xml:space="preserve">Emission Factor: 0.1 kg CO2e/tonne-km [Illustrative]</w:t>
      </w:r>
    </w:p>
    <w:p>
      <w:pPr>
        <w:numPr>
          <w:ilvl w:val="1"/>
          <w:numId w:val="1012"/>
        </w:numPr>
        <w:pStyle w:val="Compact"/>
      </w:pPr>
      <w:r>
        <w:t xml:space="preserve">Emissions: 0.001 tonne * 500 km * 0.1 kg CO2e/tonne-km = 0.05 kg CO2e</w:t>
      </w:r>
    </w:p>
    <w:p>
      <w:pPr>
        <w:numPr>
          <w:ilvl w:val="0"/>
          <w:numId w:val="1010"/>
        </w:numPr>
        <w:pStyle w:val="Compact"/>
      </w:pPr>
      <w:r>
        <w:rPr>
          <w:bCs/>
          <w:b/>
        </w:rPr>
        <w:t xml:space="preserve">Last-Mile Delivery (Road Van):</w:t>
      </w:r>
    </w:p>
    <w:p>
      <w:pPr>
        <w:numPr>
          <w:ilvl w:val="1"/>
          <w:numId w:val="1013"/>
        </w:numPr>
        <w:pStyle w:val="Compact"/>
      </w:pPr>
      <w:r>
        <w:t xml:space="preserve">Distance: Assumed 50 km [Illustrative]</w:t>
      </w:r>
    </w:p>
    <w:p>
      <w:pPr>
        <w:numPr>
          <w:ilvl w:val="1"/>
          <w:numId w:val="1013"/>
        </w:numPr>
        <w:pStyle w:val="Compact"/>
      </w:pPr>
      <w:r>
        <w:t xml:space="preserve">Weight: 0.001 tonne (1 kg)</w:t>
      </w:r>
    </w:p>
    <w:p>
      <w:pPr>
        <w:numPr>
          <w:ilvl w:val="1"/>
          <w:numId w:val="1013"/>
        </w:numPr>
        <w:pStyle w:val="Compact"/>
      </w:pPr>
      <w:r>
        <w:t xml:space="preserve">Emission Factor: Assumed 0.2 kg CO2e/tonne-km (higher for smaller vehicle/shorter distance) [Illustrative, general road freight]</w:t>
      </w:r>
    </w:p>
    <w:p>
      <w:pPr>
        <w:numPr>
          <w:ilvl w:val="1"/>
          <w:numId w:val="1013"/>
        </w:numPr>
        <w:pStyle w:val="Compact"/>
      </w:pPr>
      <w:r>
        <w:t xml:space="preserve">Emissions: 0.001 tonne * 50 km * 0.2 kg CO2e/tonne-km = 0.01 kg CO2e</w:t>
      </w:r>
    </w:p>
    <w:p>
      <w:pPr>
        <w:pStyle w:val="FirstParagraph"/>
      </w:pPr>
      <w:r>
        <w:rPr>
          <w:bCs/>
          <w:b/>
        </w:rPr>
        <w:t xml:space="preserve">Total Transport Emissions:</w:t>
      </w:r>
      <w:r>
        <w:t xml:space="preserve"> </w:t>
      </w:r>
      <w:r>
        <w:t xml:space="preserve">0.16 + 0.05 + 0.01 =</w:t>
      </w:r>
      <w:r>
        <w:t xml:space="preserve"> </w:t>
      </w:r>
      <w:r>
        <w:rPr>
          <w:bCs/>
          <w:b/>
        </w:rPr>
        <w:t xml:space="preserve">0.22 kg CO2e per unit.</w:t>
      </w:r>
    </w:p>
    <w:p>
      <w:pPr>
        <w:pStyle w:val="BodyText"/>
      </w:pPr>
      <w:r>
        <w:t xml:space="preserve">This falls under Scope 3, Category 4 (Upstream transportation and distribution) for inbound logistics and Category 9 (Downstream transportation and distribution) for outbound logistics.</w:t>
      </w:r>
    </w:p>
    <w:bookmarkEnd w:id="37"/>
    <w:bookmarkEnd w:id="38"/>
    <w:bookmarkStart w:id="39" w:name="Xe92323481d1548d997381a057534dce844345c4"/>
    <w:p>
      <w:pPr>
        <w:pStyle w:val="Heading2"/>
      </w:pPr>
      <w:r>
        <w:t xml:space="preserve">4.4 Use Phase Emissions (Scope 3 - Downstream, Category 11)</w:t>
      </w:r>
    </w:p>
    <w:p>
      <w:pPr>
        <w:numPr>
          <w:ilvl w:val="0"/>
          <w:numId w:val="1014"/>
        </w:numPr>
        <w:pStyle w:val="Compact"/>
      </w:pPr>
      <w:r>
        <w:rPr>
          <w:bCs/>
          <w:b/>
        </w:rPr>
        <w:t xml:space="preserve">Product Lifespan:</w:t>
      </w:r>
      <w:r>
        <w:t xml:space="preserve"> </w:t>
      </w:r>
      <w:r>
        <w:t xml:space="preserve">5 years [Illustrative]</w:t>
      </w:r>
    </w:p>
    <w:p>
      <w:pPr>
        <w:numPr>
          <w:ilvl w:val="0"/>
          <w:numId w:val="1014"/>
        </w:numPr>
        <w:pStyle w:val="Compact"/>
      </w:pPr>
      <w:r>
        <w:rPr>
          <w:bCs/>
          <w:b/>
        </w:rPr>
        <w:t xml:space="preserve">Energy Consumption in Use:</w:t>
      </w:r>
      <w:r>
        <w:t xml:space="preserve"> </w:t>
      </w:r>
      <w:r>
        <w:t xml:space="preserve">10 kWh/year [Illustrative]</w:t>
      </w:r>
    </w:p>
    <w:p>
      <w:pPr>
        <w:numPr>
          <w:ilvl w:val="0"/>
          <w:numId w:val="1014"/>
        </w:numPr>
        <w:pStyle w:val="Compact"/>
      </w:pPr>
      <w:r>
        <w:rPr>
          <w:bCs/>
          <w:b/>
        </w:rPr>
        <w:t xml:space="preserve">Total Energy Consumption over Lifespan:</w:t>
      </w:r>
      <w:r>
        <w:t xml:space="preserve"> </w:t>
      </w:r>
      <w:r>
        <w:t xml:space="preserve">10 kWh/year * 5 years = 50 kWh</w:t>
      </w:r>
    </w:p>
    <w:p>
      <w:pPr>
        <w:numPr>
          <w:ilvl w:val="0"/>
          <w:numId w:val="1014"/>
        </w:numPr>
        <w:pStyle w:val="Compact"/>
      </w:pPr>
      <w:r>
        <w:rPr>
          <w:bCs/>
          <w:b/>
        </w:rPr>
        <w:t xml:space="preserve">Average European Grid Factor (Illustrative):</w:t>
      </w:r>
      <w:r>
        <w:t xml:space="preserve"> </w:t>
      </w:r>
      <w:r>
        <w:t xml:space="preserve">0.3 kg CO2e/kWh</w:t>
      </w:r>
    </w:p>
    <w:p>
      <w:pPr>
        <w:pStyle w:val="FirstParagraph"/>
      </w:pPr>
      <w:r>
        <w:rPr>
          <w:bCs/>
          <w:b/>
        </w:rPr>
        <w:t xml:space="preserve">Use Phase Emissions:</w:t>
      </w:r>
      <w:r>
        <w:t xml:space="preserve"> </w:t>
      </w:r>
      <w:r>
        <w:t xml:space="preserve">50 kWh * 0.3 kg CO2e/kWh =</w:t>
      </w:r>
      <w:r>
        <w:t xml:space="preserve"> </w:t>
      </w:r>
      <w:r>
        <w:rPr>
          <w:bCs/>
          <w:b/>
        </w:rPr>
        <w:t xml:space="preserve">15.0 kg CO2e per unit.</w:t>
      </w:r>
    </w:p>
    <w:p>
      <w:pPr>
        <w:pStyle w:val="BodyText"/>
      </w:pPr>
      <w:r>
        <w:t xml:space="preserve">This falls under Scope 3, Category 11 (Use of sold products).</w:t>
      </w:r>
    </w:p>
    <w:bookmarkEnd w:id="39"/>
    <w:bookmarkStart w:id="40" w:name="X7c2eb6179bc00c931528cd70802004ea2ff4ef7"/>
    <w:p>
      <w:pPr>
        <w:pStyle w:val="Heading2"/>
      </w:pPr>
      <w:r>
        <w:t xml:space="preserve">4.5 End-of-Life (EoL) Emissions (Scope 3 - Downstream, Category 12)</w:t>
      </w:r>
    </w:p>
    <w:p>
      <w:pPr>
        <w:numPr>
          <w:ilvl w:val="0"/>
          <w:numId w:val="1015"/>
        </w:numPr>
        <w:pStyle w:val="Compact"/>
      </w:pPr>
      <w:r>
        <w:rPr>
          <w:bCs/>
          <w:b/>
        </w:rPr>
        <w:t xml:space="preserve">Recyclability Percentage:</w:t>
      </w:r>
      <w:r>
        <w:t xml:space="preserve"> </w:t>
      </w:r>
      <w:r>
        <w:t xml:space="preserve">75% [Illustrative]</w:t>
      </w:r>
    </w:p>
    <w:p>
      <w:pPr>
        <w:numPr>
          <w:ilvl w:val="0"/>
          <w:numId w:val="1015"/>
        </w:numPr>
        <w:pStyle w:val="Compact"/>
      </w:pPr>
      <w:r>
        <w:rPr>
          <w:bCs/>
          <w:b/>
        </w:rPr>
        <w:t xml:space="preserve">Non-Recycled Portion:</w:t>
      </w:r>
      <w:r>
        <w:t xml:space="preserve"> </w:t>
      </w:r>
      <w:r>
        <w:t xml:space="preserve">25% (0.25 kg for a 1 kg product)</w:t>
      </w:r>
    </w:p>
    <w:p>
      <w:pPr>
        <w:pStyle w:val="FirstParagraph"/>
      </w:pPr>
      <w:r>
        <w:rPr>
          <w:bCs/>
          <w:b/>
        </w:rPr>
        <w:t xml:space="preserve">Recycling Benefits/Burdens:</w:t>
      </w:r>
      <w:r>
        <w:t xml:space="preserve"> </w:t>
      </w:r>
      <w:r>
        <w:t xml:space="preserve">For the 75% recycled portion, the GHG Protocol allows for avoided emissions or allocating the burden of recycling. Given the presence of "Circular/Take-back Programs (lwymegevil)", we can assume some avoided emissions or a lower net burden compared to virgin production. For simplicity and illustration, we will apply a credit for the recycled portion, calculated as a percentage of the material\'s virgin production emissions. Let\'s assume a 90% reduction in emissions compared to virgin for recycled materials, and the remaining 10% for collection and processing. This would mean (0.75 kg * 6.9905 kgCO2e/kg * 0.10) for processing or (0.75 kg * (EF_virgin - EF_recycled)).</w:t>
      </w:r>
    </w:p>
    <w:p>
      <w:pPr>
        <w:pStyle w:val="BodyText"/>
      </w:pPr>
      <w:r>
        <w:t xml:space="preserve">Alternatively, if following a "cut-off" approach, the burden of waste treatment for the 25% non-recycled portion is calculated. For example, plastic waste to landfill is 0.033 kg CO2e/kg.</w:t>
      </w:r>
    </w:p>
    <w:p>
      <w:pPr>
        <w:pStyle w:val="BodyText"/>
      </w:pPr>
      <w:r>
        <w:t xml:space="preserve">Let\'s use a simplified approach assuming a burden for the non-recycled portion (25% landfill) and a credit for the recycled portion representing avoided virgin material production.</w:t>
      </w:r>
    </w:p>
    <w:p>
      <w:pPr>
        <w:numPr>
          <w:ilvl w:val="0"/>
          <w:numId w:val="1016"/>
        </w:numPr>
        <w:pStyle w:val="Compact"/>
      </w:pPr>
      <w:r>
        <w:rPr>
          <w:bCs/>
          <w:b/>
        </w:rPr>
        <w:t xml:space="preserve">Non-Recycled Emissions (25% to Landfill):</w:t>
      </w:r>
      <w:r>
        <w:t xml:space="preserve"> </w:t>
      </w:r>
      <w:r>
        <w:t xml:space="preserve">0.25 kg * (Illustrative average landfill factor for product components, e.g., 0.5 kg CO2e/kg) = 0.125 kg CO2e</w:t>
      </w:r>
    </w:p>
    <w:p>
      <w:pPr>
        <w:numPr>
          <w:ilvl w:val="0"/>
          <w:numId w:val="1016"/>
        </w:numPr>
        <w:pStyle w:val="Compact"/>
      </w:pPr>
      <w:r>
        <w:rPr>
          <w:bCs/>
          <w:b/>
        </w:rPr>
        <w:t xml:space="preserve">Recycling Credit (75% Recycled):</w:t>
      </w:r>
      <w:r>
        <w:t xml:space="preserve"> </w:t>
      </w:r>
      <w:r>
        <w:t xml:space="preserve">Assuming the recycled material displaces virgin material, a credit can be applied. For illustration, if 75% of the 1.0 kg product is recycled, and it displaces a virgin material with 6.9905 kg CO2e/kg (from BOM sum for 1 kg of material). A simple approach: (0.75 * 1.0 kg * (6.9905 kgCO2e/kg material * 0.90 reduction factor for recycling credit)) = -4.718 kg CO2e (credit). This is a complex area, simplified for illustration.</w:t>
      </w:r>
    </w:p>
    <w:p>
      <w:pPr>
        <w:pStyle w:val="FirstParagraph"/>
      </w:pPr>
      <w:r>
        <w:t xml:space="preserve">To keep it consistent with the "System Boundary: factory_gate" and cradle-to-grave with explicit EoL, we\'ll assume an EoL burden for the un-recycled part and a modest burden for recycling processes, without explicit credits unless a specific methodology for credit allocation is detailed (e.g., Module D).</w:t>
      </w:r>
      <w:r>
        <w:t xml:space="preserve"> </w:t>
      </w:r>
      <w:r>
        <w:t xml:space="preserve">For the purpose of this illustrative report, we\'ll calculate the burden for the 25% non-recycled waste and a nominal burden for the 75% recycling process (e.g. collection, sorting, basic processing).</w:t>
      </w:r>
    </w:p>
    <w:p>
      <w:pPr>
        <w:numPr>
          <w:ilvl w:val="0"/>
          <w:numId w:val="1017"/>
        </w:numPr>
        <w:pStyle w:val="Compact"/>
      </w:pPr>
      <w:r>
        <w:rPr>
          <w:bCs/>
          <w:b/>
        </w:rPr>
        <w:t xml:space="preserve">25% Waste (landfill/incineration):</w:t>
      </w:r>
      <w:r>
        <w:t xml:space="preserve"> </w:t>
      </w:r>
      <w:r>
        <w:t xml:space="preserve">0.25 kg * 0.5 kg CO2e/kg (Illustrative average waste treatment factor) = 0.125 kg CO2e</w:t>
      </w:r>
    </w:p>
    <w:p>
      <w:pPr>
        <w:numPr>
          <w:ilvl w:val="0"/>
          <w:numId w:val="1017"/>
        </w:numPr>
        <w:pStyle w:val="Compact"/>
      </w:pPr>
      <w:r>
        <w:rPr>
          <w:bCs/>
          <w:b/>
        </w:rPr>
        <w:t xml:space="preserve">75% Recycling Process Burden:</w:t>
      </w:r>
      <w:r>
        <w:t xml:space="preserve"> </w:t>
      </w:r>
      <w:r>
        <w:t xml:space="preserve">0.75 kg * 0.2 kg CO2e/kg (Illustrative processing factor) = 0.15 kg CO2e</w:t>
      </w:r>
    </w:p>
    <w:p>
      <w:pPr>
        <w:pStyle w:val="FirstParagraph"/>
      </w:pPr>
      <w:r>
        <w:rPr>
          <w:bCs/>
          <w:b/>
        </w:rPr>
        <w:t xml:space="preserve">Total EoL Emissions:</w:t>
      </w:r>
      <w:r>
        <w:t xml:space="preserve"> </w:t>
      </w:r>
      <w:r>
        <w:t xml:space="preserve">0.125 + 0.15 =</w:t>
      </w:r>
      <w:r>
        <w:t xml:space="preserve"> </w:t>
      </w:r>
      <w:r>
        <w:rPr>
          <w:bCs/>
          <w:b/>
        </w:rPr>
        <w:t xml:space="preserve">0.275 kg CO2e per unit.</w:t>
      </w:r>
    </w:p>
    <w:p>
      <w:pPr>
        <w:pStyle w:val="BodyText"/>
      </w:pPr>
      <w:r>
        <w:t xml:space="preserve">This falls under Scope 3, Category 12 (End-of-life treatment of sold products).</w:t>
      </w:r>
    </w:p>
    <w:bookmarkEnd w:id="40"/>
    <w:bookmarkStart w:id="41" w:name="X7afe36a1359c8a08b4bd569871c011f9c526f34"/>
    <w:p>
      <w:pPr>
        <w:pStyle w:val="Heading2"/>
      </w:pPr>
      <w:r>
        <w:t xml:space="preserve">4.6 Land Sector and Removals (LSR) Considerations</w:t>
      </w:r>
    </w:p>
    <w:p>
      <w:pPr>
        <w:pStyle w:val="FirstParagraph"/>
      </w:pPr>
      <w:r>
        <w:t xml:space="preserve">Applying the 2026 LSR Standard would involve quantifying emissions and removals related to land use change (e.g., deforestation for raw materials) and biogenic carbon flows. For</w:t>
      </w:r>
      <w:r>
        <w:t xml:space="preserve"> </w:t>
      </w:r>
      <w:r>
        <w:rPr>
          <w:bCs/>
          <w:b/>
        </w:rPr>
        <w:t xml:space="preserve">hoegwgnqlp</w:t>
      </w:r>
      <w:r>
        <w:t xml:space="preserve">, if any materials are bio-based or involve land-intensive processes (e.g., natural fibers, wood), their associated land use change emissions or biogenic carbon uptake would be tracked and reported separately. As no specific bio-based materials are detailed in the placeholder BOM, and due to the product\'s likely electronic/metallic nature, direct LSR impacts are assumed minimal for this illustrative report but would be meticulously assessed in a real-world scenario.</w:t>
      </w:r>
    </w:p>
    <w:bookmarkEnd w:id="41"/>
    <w:bookmarkStart w:id="43" w:name="overall-pcf-summary"/>
    <w:p>
      <w:pPr>
        <w:pStyle w:val="Heading2"/>
      </w:pPr>
      <w:r>
        <w:t xml:space="preserve">4.7 Overall PCF Summary</w:t>
      </w:r>
    </w:p>
    <w:p>
      <w:pPr>
        <w:pStyle w:val="FirstParagraph"/>
      </w:pPr>
      <w:r>
        <w:t xml:space="preserve">Based on the illustrative calculations for 1.0 unit of hoegwgnqlp:</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 / GHG Protocol Scope</w:t>
            </w:r>
          </w:p>
        </w:tc>
        <w:tc>
          <w:tcPr/>
          <w:p>
            <w:pPr>
              <w:pStyle w:val="Compact"/>
              <w:jc w:val="left"/>
            </w:pPr>
            <w:r>
              <w:t xml:space="preserve">Illustrative Emissions (kg CO2e/unit)</w:t>
            </w:r>
          </w:p>
        </w:tc>
        <w:tc>
          <w:tcPr/>
          <w:p>
            <w:pPr>
              <w:pStyle w:val="Compact"/>
              <w:jc w:val="left"/>
            </w:pPr>
            <w:r>
              <w:t xml:space="preserve">Contribution (%)</w:t>
            </w:r>
          </w:p>
        </w:tc>
      </w:tr>
      <w:tr>
        <w:tc>
          <w:tcPr/>
          <w:p>
            <w:pPr>
              <w:pStyle w:val="Compact"/>
              <w:jc w:val="left"/>
            </w:pPr>
            <w:r>
              <w:rPr>
                <w:bCs/>
                <w:b/>
              </w:rPr>
              <w:t xml:space="preserve">Material Acquisition (Scope 3, Category 1)</w:t>
            </w:r>
          </w:p>
        </w:tc>
        <w:tc>
          <w:tcPr/>
          <w:p>
            <w:pPr>
              <w:pStyle w:val="Compact"/>
              <w:jc w:val="left"/>
            </w:pPr>
            <w:r>
              <w:t xml:space="preserve">6.9905</w:t>
            </w:r>
          </w:p>
        </w:tc>
        <w:tc>
          <w:tcPr/>
          <w:p>
            <w:pPr>
              <w:pStyle w:val="Compact"/>
              <w:jc w:val="left"/>
            </w:pPr>
            <w:r>
              <w:t xml:space="preserve">30.7%</w:t>
            </w:r>
          </w:p>
        </w:tc>
      </w:tr>
      <w:tr>
        <w:tc>
          <w:tcPr/>
          <w:p>
            <w:pPr>
              <w:pStyle w:val="Compact"/>
              <w:jc w:val="left"/>
            </w:pPr>
            <w:r>
              <w:rPr>
                <w:bCs/>
                <w:b/>
              </w:rPr>
              <w:t xml:space="preserve">Manufacturing (Scope 2)</w:t>
            </w:r>
          </w:p>
        </w:tc>
        <w:tc>
          <w:tcPr/>
          <w:p>
            <w:pPr>
              <w:pStyle w:val="Compact"/>
              <w:jc w:val="left"/>
            </w:pPr>
            <w:r>
              <w:t xml:space="preserve">0.6655</w:t>
            </w:r>
          </w:p>
        </w:tc>
        <w:tc>
          <w:tcPr/>
          <w:p>
            <w:pPr>
              <w:pStyle w:val="Compact"/>
              <w:jc w:val="left"/>
            </w:pPr>
            <w:r>
              <w:t xml:space="preserve">2.9%</w:t>
            </w:r>
          </w:p>
        </w:tc>
      </w:tr>
      <w:tr>
        <w:tc>
          <w:tcPr/>
          <w:p>
            <w:pPr>
              <w:pStyle w:val="Compact"/>
              <w:jc w:val="left"/>
            </w:pPr>
            <w:r>
              <w:rPr>
                <w:bCs/>
                <w:b/>
              </w:rPr>
              <w:t xml:space="preserve">Transport (Scope 3, Category 4 &amp; 9)</w:t>
            </w:r>
          </w:p>
        </w:tc>
        <w:tc>
          <w:tcPr/>
          <w:p>
            <w:pPr>
              <w:pStyle w:val="Compact"/>
              <w:jc w:val="left"/>
            </w:pPr>
            <w:r>
              <w:t xml:space="preserve">0.22</w:t>
            </w:r>
          </w:p>
        </w:tc>
        <w:tc>
          <w:tcPr/>
          <w:p>
            <w:pPr>
              <w:pStyle w:val="Compact"/>
              <w:jc w:val="left"/>
            </w:pPr>
            <w:r>
              <w:t xml:space="preserve">1.0%</w:t>
            </w:r>
          </w:p>
        </w:tc>
      </w:tr>
      <w:tr>
        <w:tc>
          <w:tcPr/>
          <w:p>
            <w:pPr>
              <w:pStyle w:val="Compact"/>
              <w:jc w:val="left"/>
            </w:pPr>
            <w:r>
              <w:rPr>
                <w:bCs/>
                <w:b/>
              </w:rPr>
              <w:t xml:space="preserve">Use Phase (Scope 3, Category 11)</w:t>
            </w:r>
          </w:p>
        </w:tc>
        <w:tc>
          <w:tcPr/>
          <w:p>
            <w:pPr>
              <w:pStyle w:val="Compact"/>
              <w:jc w:val="left"/>
            </w:pPr>
            <w:r>
              <w:t xml:space="preserve">15.0</w:t>
            </w:r>
          </w:p>
        </w:tc>
        <w:tc>
          <w:tcPr/>
          <w:p>
            <w:pPr>
              <w:pStyle w:val="Compact"/>
              <w:jc w:val="left"/>
            </w:pPr>
            <w:r>
              <w:t xml:space="preserve">65.9%</w:t>
            </w:r>
          </w:p>
        </w:tc>
      </w:tr>
      <w:tr>
        <w:tc>
          <w:tcPr/>
          <w:p>
            <w:pPr>
              <w:pStyle w:val="Compact"/>
              <w:jc w:val="left"/>
            </w:pPr>
            <w:r>
              <w:rPr>
                <w:bCs/>
                <w:b/>
              </w:rPr>
              <w:t xml:space="preserve">End-of-Life (Scope 3, Category 12)</w:t>
            </w:r>
          </w:p>
        </w:tc>
        <w:tc>
          <w:tcPr/>
          <w:p>
            <w:pPr>
              <w:pStyle w:val="Compact"/>
              <w:jc w:val="left"/>
            </w:pPr>
            <w:r>
              <w:t xml:space="preserve">0.275</w:t>
            </w:r>
          </w:p>
        </w:tc>
        <w:tc>
          <w:tcPr/>
          <w:p>
            <w:pPr>
              <w:pStyle w:val="Compact"/>
              <w:jc w:val="left"/>
            </w:pPr>
            <w:r>
              <w:t xml:space="preserve">1.2%</w:t>
            </w:r>
          </w:p>
        </w:tc>
      </w:tr>
      <w:tr>
        <w:tc>
          <w:tcPr/>
          <w:p>
            <w:pPr>
              <w:pStyle w:val="Compact"/>
              <w:jc w:val="left"/>
            </w:pPr>
            <w:r>
              <w:rPr>
                <w:bCs/>
                <w:b/>
              </w:rPr>
              <w:t xml:space="preserve">Total Illustrative PCF (Cradle-to-Grave)</w:t>
            </w:r>
          </w:p>
        </w:tc>
        <w:tc>
          <w:tcPr/>
          <w:p>
            <w:pPr>
              <w:pStyle w:val="Compact"/>
              <w:jc w:val="left"/>
            </w:pPr>
            <w:r>
              <w:rPr>
                <w:bCs/>
                <w:b/>
              </w:rPr>
              <w:t xml:space="preserve">22.885 kg CO2e</w:t>
            </w:r>
          </w:p>
        </w:tc>
        <w:tc>
          <w:tcPr/>
          <w:p>
            <w:pPr>
              <w:pStyle w:val="Compact"/>
              <w:jc w:val="left"/>
            </w:pPr>
            <w:r>
              <w:rPr>
                <w:bCs/>
                <w:b/>
              </w:rPr>
              <w:t xml:space="preserve">100%</w:t>
            </w:r>
          </w:p>
        </w:tc>
      </w:tr>
    </w:tbl>
    <w:p>
      <w:pPr>
        <w:pStyle w:val="BodyText"/>
      </w:pPr>
      <w:r>
        <w:rPr>
          <w:bCs/>
          <w:b/>
        </w:rPr>
        <w:t xml:space="preserve">Note:</w:t>
      </w:r>
      <w:r>
        <w:t xml:space="preserve"> </w:t>
      </w:r>
      <w:r>
        <w:t xml:space="preserve">Totals may not sum precisely due to rounding.</w:t>
      </w:r>
    </w:p>
    <w:bookmarkStart w:id="42" w:name="hotspot-analysis"/>
    <w:p>
      <w:pPr>
        <w:pStyle w:val="Heading3"/>
      </w:pPr>
      <w:r>
        <w:t xml:space="preserve">4.7.1 Hotspot Analysis</w:t>
      </w:r>
    </w:p>
    <w:p>
      <w:pPr>
        <w:pStyle w:val="FirstParagraph"/>
      </w:pPr>
      <w:r>
        <w:t xml:space="preserve">The primary emission hotspot for hoegwgnqlp, based on these illustrative figures, is clearly the</w:t>
      </w:r>
      <w:r>
        <w:t xml:space="preserve"> </w:t>
      </w:r>
      <w:r>
        <w:rPr>
          <w:bCs/>
          <w:b/>
        </w:rPr>
        <w:t xml:space="preserve">Use Phase</w:t>
      </w:r>
      <w:r>
        <w:t xml:space="preserve">, contributing approximately 65.9% of the total PCF. This is followed by</w:t>
      </w:r>
      <w:r>
        <w:t xml:space="preserve"> </w:t>
      </w:r>
      <w:r>
        <w:rPr>
          <w:bCs/>
          <w:b/>
        </w:rPr>
        <w:t xml:space="preserve">Material Acquisition</w:t>
      </w:r>
      <w:r>
        <w:t xml:space="preserve"> </w:t>
      </w:r>
      <w:r>
        <w:t xml:space="preserve">at 30.7%. Manufacturing, Transport, and End-of-Life phases show comparatively lower contributions.</w:t>
      </w:r>
    </w:p>
    <w:p>
      <w:r>
        <w:pict>
          <v:rect style="width:0;height:1.5pt" o:hralign="center" o:hrstd="t" o:hr="t"/>
        </w:pict>
      </w:r>
    </w:p>
    <w:bookmarkEnd w:id="42"/>
    <w:bookmarkEnd w:id="43"/>
    <w:bookmarkEnd w:id="44"/>
    <w:bookmarkStart w:id="48" w:name="review-reporting"/>
    <w:p>
      <w:pPr>
        <w:pStyle w:val="Heading1"/>
      </w:pPr>
      <w:r>
        <w:t xml:space="preserve">5. Review &amp; Reporting</w:t>
      </w:r>
    </w:p>
    <w:bookmarkStart w:id="45" w:name="hotspots-and-reliability"/>
    <w:p>
      <w:pPr>
        <w:pStyle w:val="Heading2"/>
      </w:pPr>
      <w:r>
        <w:t xml:space="preserve">5.1 Hotspots and Reliability</w:t>
      </w:r>
    </w:p>
    <w:p>
      <w:pPr>
        <w:pStyle w:val="FirstParagraph"/>
      </w:pPr>
      <w:r>
        <w:t xml:space="preserve">The hotspot analysis indicates that efforts to reduce the carbon footprint of hoegwgnqlp should primarily focus on:</w:t>
      </w:r>
    </w:p>
    <w:p>
      <w:pPr>
        <w:numPr>
          <w:ilvl w:val="0"/>
          <w:numId w:val="1018"/>
        </w:numPr>
        <w:pStyle w:val="Compact"/>
      </w:pPr>
      <w:r>
        <w:rPr>
          <w:bCs/>
          <w:b/>
        </w:rPr>
        <w:t xml:space="preserve">Reducing Use Phase Energy Consumption:</w:t>
      </w:r>
      <w:r>
        <w:t xml:space="preserve"> </w:t>
      </w:r>
      <w:r>
        <w:t xml:space="preserve">Optimizing energy efficiency of the product during its lifespan (ysrxyyplfm) is critical.</w:t>
      </w:r>
    </w:p>
    <w:p>
      <w:pPr>
        <w:numPr>
          <w:ilvl w:val="0"/>
          <w:numId w:val="1018"/>
        </w:numPr>
        <w:pStyle w:val="Compact"/>
      </w:pPr>
      <w:r>
        <w:rPr>
          <w:bCs/>
          <w:b/>
        </w:rPr>
        <w:t xml:space="preserve">Material Selection and Design:</w:t>
      </w:r>
      <w:r>
        <w:t xml:space="preserve"> </w:t>
      </w:r>
      <w:r>
        <w:t xml:space="preserve">Exploring lower-carbon alternative materials and increasing recycled content for components identified in the BOM (gmednffq), particularly aluminum and electronics, will significantly impact upstream emissions.</w:t>
      </w:r>
    </w:p>
    <w:p>
      <w:pPr>
        <w:numPr>
          <w:ilvl w:val="0"/>
          <w:numId w:val="1018"/>
        </w:numPr>
        <w:pStyle w:val="Compact"/>
      </w:pPr>
      <w:r>
        <w:rPr>
          <w:bCs/>
          <w:b/>
        </w:rPr>
        <w:t xml:space="preserve">Increasing Renewable Energy in Production:</w:t>
      </w:r>
      <w:r>
        <w:t xml:space="preserve"> </w:t>
      </w:r>
      <w:r>
        <w:t xml:space="preserve">While 60% renewable energy usage (hmpirhlfdp) is commendable, further increasing this percentage would reduce Scope 2 emissions.</w:t>
      </w:r>
    </w:p>
    <w:p>
      <w:pPr>
        <w:pStyle w:val="FirstParagraph"/>
      </w:pPr>
      <w:r>
        <w:t xml:space="preserve">The reliability of this report is directly dependent on the accuracy and completeness of the input data. As placeholder values were used for several key parameters, the quantitative results presented are illustrative. In a real-world assessment, primary data directly from</w:t>
      </w:r>
      <w:r>
        <w:t xml:space="preserve"> </w:t>
      </w:r>
      <w:r>
        <w:rPr>
          <w:bCs/>
          <w:b/>
        </w:rPr>
        <w:t xml:space="preserve">ifihergwlg</w:t>
      </w:r>
      <w:r>
        <w:t xml:space="preserve"> </w:t>
      </w:r>
      <w:r>
        <w:t xml:space="preserve">and its suppliers would be essential to enhance the accuracy and robustness of the PCF.</w:t>
      </w:r>
    </w:p>
    <w:bookmarkEnd w:id="45"/>
    <w:bookmarkStart w:id="46" w:name="scope-3-compliance"/>
    <w:p>
      <w:pPr>
        <w:pStyle w:val="Heading2"/>
      </w:pPr>
      <w:r>
        <w:t xml:space="preserve">5.2 Scope 3 Compliance</w:t>
      </w:r>
    </w:p>
    <w:p>
      <w:pPr>
        <w:pStyle w:val="FirstParagraph"/>
      </w:pPr>
      <w:r>
        <w:t xml:space="preserve">This analysis has aimed to achieve at least 95% coverage for Scope 3 reporting, as required by 2026 standards, by incorporating detailed analyses of purchased goods and services (materials), transportation (upstream and downstream), use of sold products, and end-of-life treatment. Other Scope 3 categories would be assessed for relevance and included in a full-scale report.</w:t>
      </w:r>
    </w:p>
    <w:bookmarkEnd w:id="46"/>
    <w:bookmarkStart w:id="47" w:name="recommendations-for-ifihergwlg"/>
    <w:p>
      <w:pPr>
        <w:pStyle w:val="Heading2"/>
      </w:pPr>
      <w:r>
        <w:t xml:space="preserve">5.3 Recommendations for ifihergwlg</w:t>
      </w:r>
    </w:p>
    <w:p>
      <w:pPr>
        <w:numPr>
          <w:ilvl w:val="0"/>
          <w:numId w:val="1019"/>
        </w:numPr>
        <w:pStyle w:val="Compact"/>
      </w:pPr>
      <w:r>
        <w:rPr>
          <w:bCs/>
          <w:b/>
        </w:rPr>
        <w:t xml:space="preserve">Optimize Product Energy Efficiency:</w:t>
      </w:r>
      <w:r>
        <w:t xml:space="preserve"> </w:t>
      </w:r>
      <w:r>
        <w:t xml:space="preserve">Invest in R&amp;D to drastically reduce the energy consumption of hoegwgnqlp during its use phase.</w:t>
      </w:r>
    </w:p>
    <w:p>
      <w:pPr>
        <w:numPr>
          <w:ilvl w:val="0"/>
          <w:numId w:val="1019"/>
        </w:numPr>
        <w:pStyle w:val="Compact"/>
      </w:pPr>
      <w:r>
        <w:rPr>
          <w:bCs/>
          <w:b/>
        </w:rPr>
        <w:t xml:space="preserve">Sustainable Material Sourcing:</w:t>
      </w:r>
      <w:r>
        <w:t xml:space="preserve"> </w:t>
      </w:r>
      <w:r>
        <w:t xml:space="preserve">Collaborate with suppliers to identify and procure materials with lower embodied carbon, prioritizing components contributing most to the material footprint. Investigate the use of recycled content for plastics and aluminum.</w:t>
      </w:r>
    </w:p>
    <w:p>
      <w:pPr>
        <w:numPr>
          <w:ilvl w:val="0"/>
          <w:numId w:val="1019"/>
        </w:numPr>
        <w:pStyle w:val="Compact"/>
      </w:pPr>
      <w:r>
        <w:rPr>
          <w:bCs/>
          <w:b/>
        </w:rPr>
        <w:t xml:space="preserve">Expand Renewable Energy Footprint:</w:t>
      </w:r>
      <w:r>
        <w:t xml:space="preserve"> </w:t>
      </w:r>
      <w:r>
        <w:t xml:space="preserve">Explore options to achieve 100% renewable energy in manufacturing facilities, possibly through Power Purchase Agreements (PPAs) or on-site generation.</w:t>
      </w:r>
    </w:p>
    <w:p>
      <w:pPr>
        <w:numPr>
          <w:ilvl w:val="0"/>
          <w:numId w:val="1019"/>
        </w:numPr>
        <w:pStyle w:val="Compact"/>
      </w:pPr>
      <w:r>
        <w:rPr>
          <w:bCs/>
          <w:b/>
        </w:rPr>
        <w:t xml:space="preserve">Enhance Circular Economy Initiatives:</w:t>
      </w:r>
      <w:r>
        <w:t xml:space="preserve"> </w:t>
      </w:r>
      <w:r>
        <w:t xml:space="preserve">Further develop and promote take-back programs (lwymegevil) to maximize recyclability (evlfgqmqjw) and enable closed-loop material flows.</w:t>
      </w:r>
    </w:p>
    <w:p>
      <w:pPr>
        <w:numPr>
          <w:ilvl w:val="0"/>
          <w:numId w:val="1019"/>
        </w:numPr>
        <w:pStyle w:val="Compact"/>
      </w:pPr>
      <w:r>
        <w:rPr>
          <w:bCs/>
          <w:b/>
        </w:rPr>
        <w:t xml:space="preserve">Refine Data Collection:</w:t>
      </w:r>
      <w:r>
        <w:t xml:space="preserve"> </w:t>
      </w:r>
      <w:r>
        <w:t xml:space="preserve">Implement robust systems for collecting primary data for all BOM items, precise transport routes and loads, and actual use-phase energy consumption patterns from representative user groups.</w:t>
      </w:r>
    </w:p>
    <w:p>
      <w:r>
        <w:pict>
          <v:rect style="width:0;height:1.5pt" o:hralign="center" o:hrstd="t" o:hr="t"/>
        </w:pict>
      </w:r>
    </w:p>
    <w:p>
      <w:pPr>
        <w:pStyle w:val="FirstParagraph"/>
      </w:pPr>
      <w:r>
        <w:t xml:space="preserve">Confidential - Internal Use Only |</w:t>
      </w:r>
      <w:r>
        <w:t xml:space="preserve"> </w:t>
      </w:r>
    </w:p>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hoegwgnqlp</dc:title>
  <dc:creator/>
  <dc:description>Detailed Product Carbon Footprint (PCF) analysis report for hoegwgnqlp, conducted by iyzzisyokr for ifihergwlg, adhering to GHG Protocol standards and 2026 LSR updates.</dc:description>
  <dc:language>en</dc:language>
  <cp:keywords/>
  <dcterms:created xsi:type="dcterms:W3CDTF">2026-07-15T21:08:43Z</dcterms:created>
  <dcterms:modified xsi:type="dcterms:W3CDTF">2026-07-15T21:08:43Z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