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hnyrsnzsxx</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hnyrsnzsxx</w:t>
      </w:r>
    </w:p>
    <w:p>
      <w:pPr>
        <w:pStyle w:val="BodyText"/>
      </w:pPr>
      <w:r>
        <w:rPr>
          <w:bCs/>
          <w:b/>
        </w:rPr>
        <w:t xml:space="preserve">Company:</w:t>
      </w:r>
      <w:r>
        <w:t xml:space="preserve"> </w:t>
      </w:r>
      <w:r>
        <w:t xml:space="preserve">oxmvyqdpej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rnhfyyetss</w:t>
      </w:r>
    </w:p>
    <w:p>
      <w:pPr>
        <w:pStyle w:val="BodyText"/>
      </w:pPr>
      <w:r>
        <w:rPr>
          <w:iCs/>
          <w:i/>
        </w:rPr>
        <w:t xml:space="preserve">Disclaimer: This report is generated based on available data, industry standards, and specified parameters. While every effort has been made to ensure accuracy, the results are indicative and subject to the quality and completeness of the input data.</w:t>
      </w:r>
    </w:p>
    <w:bookmarkEnd w:id="20"/>
    <w:bookmarkStart w:id="21" w:name="Xf19e28ec1cd727855e1a8eddc411fe51e1a3d2a"/>
    <w:p>
      <w:pPr>
        <w:pStyle w:val="Heading1"/>
      </w:pPr>
      <w:r>
        <w:t xml:space="preserve">Product Carbon Footprint Analysis for hnyrsnzsxx</w:t>
      </w:r>
    </w:p>
    <w:p>
      <w:pPr>
        <w:pStyle w:val="FirstParagraph"/>
      </w:pPr>
      <w:r>
        <w:t xml:space="preserve">Generated Date: May 18, 2026</w:t>
      </w:r>
    </w:p>
    <w:p>
      <w:pPr>
        <w:pStyle w:val="BodyText"/>
      </w:pPr>
      <w:r>
        <w:t xml:space="preserve">Prepared by: rnhfyyetss, Senior Sustainability Consultant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hnyrsnzsxx, manufactured by oxmvyqdpej. The analysis adheres strictly to the GHG Protocol standards, including the 2026 Land Sector and Removals (LSR) Update, and aims for at least 95% coverage for Scope 3 emissions. The study adopts a cradle-to-grave approach, encompassing material acquisition, manufacturing, transportation, the use phase, and end-of-life scenarios. Key insights identify emission hotspots and provide recommendations for reduction. The total estimated carbon footprint for one functional unit of hnyrsnzsxx is calculated based on the provided Bill of Materials, energy consumption, logistics, and end-of-life parameters.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parameters and boundaries for the Product Carbon Footprint (PCF) analysis of hnyrsnzsxx.</w:t>
      </w:r>
    </w:p>
    <w:p>
      <w:pPr>
        <w:numPr>
          <w:ilvl w:val="0"/>
          <w:numId w:val="1001"/>
        </w:numPr>
        <w:pStyle w:val="Compact"/>
      </w:pPr>
      <w:r>
        <w:rPr>
          <w:bCs/>
          <w:b/>
        </w:rPr>
        <w:t xml:space="preserve">Functional Unit:</w:t>
      </w:r>
      <w:r>
        <w:t xml:space="preserve"> </w:t>
      </w:r>
      <w:r>
        <w:t xml:space="preserve">1.0 unit of hnyrsnzsxx.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Cradle-to-Grave. Although \'factory_gate\' was mentioned, the inclusion of "Use Phase" and "End-of-Life" parameters necessitates a comprehensive cradle-to-grave assessment. This covers all stages from raw material extraction (A1), transport to manufacturing (A2), manufacturing (A3), transport to user (A4), use phase (B1-B7), and end-of-life treatment (C1-C4).</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material sourcing and intermediate processing in Europe before shipment to China, or distribution to Europe after production).</w:t>
      </w:r>
    </w:p>
    <w:p>
      <w:pPr>
        <w:numPr>
          <w:ilvl w:val="0"/>
          <w:numId w:val="1001"/>
        </w:numPr>
        <w:pStyle w:val="Compact"/>
      </w:pPr>
      <w:r>
        <w:rPr>
          <w:bCs/>
          <w:b/>
        </w:rPr>
        <w:t xml:space="preserve">Accounting Standard:</w:t>
      </w:r>
      <w:r>
        <w:t xml:space="preserve"> </w:t>
      </w:r>
      <w:r>
        <w:t xml:space="preserve">GHG Protocol Product Standard, including alignment with the 2026 Land Sector and Removals (LSR) Standard for land use change and carbon removal aspects.</w:t>
      </w:r>
    </w:p>
    <w:p>
      <w:pPr>
        <w:numPr>
          <w:ilvl w:val="0"/>
          <w:numId w:val="1001"/>
        </w:numPr>
        <w:pStyle w:val="Compact"/>
      </w:pPr>
      <w:r>
        <w:rPr>
          <w:bCs/>
          <w:b/>
        </w:rPr>
        <w:t xml:space="preserve">Allocation:</w:t>
      </w:r>
      <w:r>
        <w:t xml:space="preserve"> </w:t>
      </w:r>
      <w:r>
        <w:t xml:space="preserve">Emissions are allocated directly to the functional unit. For shared processes (e.g., factory energy), allocation is performed based on energy intensity per unit of hnyrsnzsxx.</w:t>
      </w:r>
    </w:p>
    <w:p>
      <w:r>
        <w:pict>
          <v:rect style="width:0;height:1.5pt" o:hralign="center" o:hrstd="t" o:hr="t"/>
        </w:pict>
      </w:r>
    </w:p>
    <w:bookmarkEnd w:id="23"/>
    <w:bookmarkStart w:id="29" w:name="lifecycle-mapping-lci-data-collection"/>
    <w:p>
      <w:pPr>
        <w:pStyle w:val="Heading2"/>
      </w:pPr>
      <w:r>
        <w:t xml:space="preserve">2. &amp; 3. Lifecycle Mapping (LCI) &amp; Data Collection</w:t>
      </w:r>
    </w:p>
    <w:p>
      <w:pPr>
        <w:pStyle w:val="FirstParagraph"/>
      </w:pPr>
      <w:r>
        <w:t xml:space="preserve">This section details the lifecycle stages and the primary and secondary data points collected for the analysis. The product lifecycle for hnyrsnzsxx includes Material Acquisition, Manufacturing, Transportation to Customer, Use Phase, and End-of-Life.</w:t>
      </w:r>
    </w:p>
    <w:bookmarkStart w:id="24" w:name="X08a71b47de38b1b3dd437aa98188a1ff7b2c49b"/>
    <w:p>
      <w:pPr>
        <w:pStyle w:val="Heading3"/>
      </w:pPr>
      <w:r>
        <w:t xml:space="preserve">2.1. Material Acquisition &amp; Manufacturing Inputs (Scope 3 Upstream)</w:t>
      </w:r>
    </w:p>
    <w:p>
      <w:pPr>
        <w:pStyle w:val="FirstParagraph"/>
      </w:pPr>
      <w:r>
        <w:t xml:space="preserve">The following Bill of Materials (BOM) provides a high-accuracy basis for material impact calculations. Emission factors are sourced from simulated industry-standard databases (e.g., Ecoinvent/DEFRA equivalents) for representative materials and processes.</w:t>
      </w:r>
    </w:p>
    <w:p>
      <w:pPr>
        <w:pStyle w:val="BodyText"/>
      </w:pPr>
      <w:r>
        <w:rPr>
          <w:bCs/>
          <w:b/>
        </w:rPr>
        <w:t xml:space="preserve">Detailed Bill of Materials (BOM) for hnyrsnzsxx (xvedlwny):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LCD Display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M005</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0.060</w:t>
            </w:r>
          </w:p>
        </w:tc>
      </w:tr>
      <w:tr>
        <w:tc>
          <w:tcPr/>
          <w:p>
            <w:pPr>
              <w:pStyle w:val="Compact"/>
              <w:jc w:val="left"/>
            </w:pPr>
            <w:r>
              <w:t xml:space="preserve">M006</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0.050</w:t>
            </w:r>
          </w:p>
        </w:tc>
      </w:tr>
      <w:tr>
        <w:tc>
          <w:tcPr/>
          <w:p>
            <w:pPr>
              <w:pStyle w:val="Compact"/>
              <w:jc w:val="left"/>
            </w:pPr>
            <w:r>
              <w:t xml:space="preserve">M008</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gridSpan w:val="7"/>
          </w:tcPr>
          <w:p>
            <w:pPr>
              <w:pStyle w:val="Compact"/>
              <w:jc w:val="right"/>
            </w:pPr>
            <w:r>
              <w:rPr>
                <w:bCs/>
                <w:b/>
              </w:rPr>
              <w:t xml:space="preserve">Sub-total Material Emissions:</w:t>
            </w:r>
          </w:p>
        </w:tc>
        <w:tc>
          <w:tcPr/>
          <w:p>
            <w:pPr>
              <w:pStyle w:val="Compact"/>
              <w:jc w:val="left"/>
            </w:pPr>
            <w:r>
              <w:rPr>
                <w:bCs/>
                <w:b/>
              </w:rPr>
              <w:t xml:space="preserve">2.850 kg CO2e</w:t>
            </w:r>
          </w:p>
        </w:tc>
      </w:tr>
    </w:tbl>
    <w:bookmarkEnd w:id="24"/>
    <w:bookmarkStart w:id="25" w:name="production-energy-inputs-scope-1-2"/>
    <w:p>
      <w:pPr>
        <w:pStyle w:val="Heading3"/>
      </w:pPr>
      <w:r>
        <w:t xml:space="preserve">2.2. Production Energy Inputs (Scope 1 &amp; 2)</w:t>
      </w:r>
    </w:p>
    <w:p>
      <w:pPr>
        <w:pStyle w:val="FirstParagraph"/>
      </w:pPr>
      <w:r>
        <w:t xml:space="preserve">The manufacturing process in China utilizes a mix of renewable and grid electricity. Direct emissions (Scope 1) from manufacturing are assumed to be negligible for this product, primarily focusing on purchased electricity (Scope 2).</w:t>
      </w:r>
    </w:p>
    <w:p>
      <w:pPr>
        <w:numPr>
          <w:ilvl w:val="0"/>
          <w:numId w:val="1003"/>
        </w:numPr>
        <w:pStyle w:val="Compact"/>
      </w:pPr>
      <w:r>
        <w:rPr>
          <w:bCs/>
          <w:b/>
        </w:rPr>
        <w:t xml:space="preserve">Renewable Energy Usage (fkoinvgyss):</w:t>
      </w:r>
      <w:r>
        <w:t xml:space="preserve"> </w:t>
      </w:r>
      <w:r>
        <w:t xml:space="preserve">50%</w:t>
      </w:r>
    </w:p>
    <w:p>
      <w:pPr>
        <w:numPr>
          <w:ilvl w:val="0"/>
          <w:numId w:val="1003"/>
        </w:numPr>
        <w:pStyle w:val="Compact"/>
      </w:pPr>
      <w:r>
        <w:rPr>
          <w:bCs/>
          <w:b/>
        </w:rPr>
        <w:t xml:space="preserve">Energy Intensity (kWh/unit - upvvdkrnhg):</w:t>
      </w:r>
      <w:r>
        <w:t xml:space="preserve"> </w:t>
      </w:r>
      <w:r>
        <w:t xml:space="preserve">15 kWh/unit</w:t>
      </w:r>
    </w:p>
    <w:p>
      <w:pPr>
        <w:pStyle w:val="FirstParagraph"/>
      </w:pPr>
      <w:r>
        <w:t xml:space="preserve">For the remaining 50% of non-renewable electricity, a grid emission factor representative of China\'s electricity mix will be used (simulated at 0.7 kg CO2e/kWh for simplicity).</w:t>
      </w:r>
    </w:p>
    <w:bookmarkEnd w:id="25"/>
    <w:bookmarkStart w:id="26" w:name="Xa72cd89f200eee69afd134ad22c65583d62e21f"/>
    <w:p>
      <w:pPr>
        <w:pStyle w:val="Heading3"/>
      </w:pPr>
      <w:r>
        <w:t xml:space="preserve">2.3. Transportation (Scope 3 Upstream &amp; Downstream)</w:t>
      </w:r>
    </w:p>
    <w:p>
      <w:pPr>
        <w:pStyle w:val="FirstParagraph"/>
      </w:pPr>
      <w:r>
        <w:t xml:space="preserve">Logistics data for material inbound and finished product outbound are incorporated.</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Segment</w:t>
            </w:r>
          </w:p>
        </w:tc>
        <w:tc>
          <w:tcPr/>
          <w:p>
            <w:pPr>
              <w:pStyle w:val="Compact"/>
              <w:jc w:val="left"/>
            </w:pPr>
            <w:r>
              <w:t xml:space="preserve">Transport Mode (Select Mode)</w:t>
            </w:r>
          </w:p>
        </w:tc>
        <w:tc>
          <w:tcPr/>
          <w:p>
            <w:pPr>
              <w:pStyle w:val="Compact"/>
              <w:jc w:val="left"/>
            </w:pPr>
            <w:r>
              <w:t xml:space="preserve">Distance (nnvlguwdmt)</w:t>
            </w:r>
          </w:p>
        </w:tc>
        <w:tc>
          <w:tcPr/>
          <w:p>
            <w:pPr>
              <w:pStyle w:val="Compact"/>
              <w:jc w:val="left"/>
            </w:pPr>
            <w:r>
              <w:t xml:space="preserve">Load/Unit</w:t>
            </w:r>
          </w:p>
        </w:tc>
        <w:tc>
          <w:tcPr/>
          <w:p>
            <w:pPr>
              <w:pStyle w:val="Compact"/>
              <w:jc w:val="left"/>
            </w:pPr>
            <w:r>
              <w:t xml:space="preserve">Emission Factor (kg CO2e/tonne-km)</w:t>
            </w:r>
          </w:p>
        </w:tc>
        <w:tc>
          <w:tcPr/>
          <w:p>
            <w:pPr>
              <w:pStyle w:val="Compact"/>
              <w:jc w:val="left"/>
            </w:pPr>
            <w:r>
              <w:t xml:space="preserve">Total Carbon (kg CO2e)</w:t>
            </w:r>
          </w:p>
        </w:tc>
      </w:tr>
      <w:tr>
        <w:tc>
          <w:tcPr/>
          <w:p>
            <w:pPr>
              <w:pStyle w:val="Compact"/>
              <w:jc w:val="left"/>
            </w:pPr>
            <w:r>
              <w:t xml:space="preserve">Materials (Europe to China)</w:t>
            </w:r>
          </w:p>
        </w:tc>
        <w:tc>
          <w:tcPr/>
          <w:p>
            <w:pPr>
              <w:pStyle w:val="Compact"/>
              <w:jc w:val="left"/>
            </w:pPr>
            <w:r>
              <w:t xml:space="preserve">Ocean Freight (Container Ship)</w:t>
            </w:r>
          </w:p>
        </w:tc>
        <w:tc>
          <w:tcPr/>
          <w:p>
            <w:pPr>
              <w:pStyle w:val="Compact"/>
              <w:jc w:val="left"/>
            </w:pPr>
            <w:r>
              <w:t xml:space="preserve">15,000 km</w:t>
            </w:r>
          </w:p>
        </w:tc>
        <w:tc>
          <w:tcPr/>
          <w:p>
            <w:pPr>
              <w:pStyle w:val="Compact"/>
              <w:jc w:val="left"/>
            </w:pPr>
            <w:r>
              <w:t xml:space="preserve">0.4 kg/unit (est.)</w:t>
            </w:r>
          </w:p>
        </w:tc>
        <w:tc>
          <w:tcPr/>
          <w:p>
            <w:pPr>
              <w:pStyle w:val="Compact"/>
              <w:jc w:val="left"/>
            </w:pPr>
            <w:r>
              <w:t xml:space="preserve">0.01</w:t>
            </w:r>
          </w:p>
        </w:tc>
        <w:tc>
          <w:tcPr/>
          <w:p>
            <w:pPr>
              <w:pStyle w:val="Compact"/>
              <w:jc w:val="left"/>
            </w:pPr>
            <w:r>
              <w:t xml:space="preserve">0.06</w:t>
            </w:r>
          </w:p>
        </w:tc>
      </w:tr>
      <w:tr>
        <w:tc>
          <w:tcPr/>
          <w:p>
            <w:pPr>
              <w:pStyle w:val="Compact"/>
              <w:jc w:val="left"/>
            </w:pPr>
            <w:r>
              <w:t xml:space="preserve">Finished Product (China to Europe Hub)</w:t>
            </w:r>
          </w:p>
        </w:tc>
        <w:tc>
          <w:tcPr/>
          <w:p>
            <w:pPr>
              <w:pStyle w:val="Compact"/>
              <w:jc w:val="left"/>
            </w:pPr>
            <w:r>
              <w:t xml:space="preserve">Ocean Freight (Container Ship)</w:t>
            </w:r>
          </w:p>
        </w:tc>
        <w:tc>
          <w:tcPr/>
          <w:p>
            <w:pPr>
              <w:pStyle w:val="Compact"/>
              <w:jc w:val="left"/>
            </w:pPr>
            <w:r>
              <w:t xml:space="preserve">15,000 km</w:t>
            </w:r>
          </w:p>
        </w:tc>
        <w:tc>
          <w:tcPr/>
          <w:p>
            <w:pPr>
              <w:pStyle w:val="Compact"/>
              <w:jc w:val="left"/>
            </w:pPr>
            <w:r>
              <w:t xml:space="preserve">0.4 kg/unit (est.)</w:t>
            </w:r>
          </w:p>
        </w:tc>
        <w:tc>
          <w:tcPr/>
          <w:p>
            <w:pPr>
              <w:pStyle w:val="Compact"/>
              <w:jc w:val="left"/>
            </w:pPr>
            <w:r>
              <w:t xml:space="preserve">0.01</w:t>
            </w:r>
          </w:p>
        </w:tc>
        <w:tc>
          <w:tcPr/>
          <w:p>
            <w:pPr>
              <w:pStyle w:val="Compact"/>
              <w:jc w:val="left"/>
            </w:pPr>
            <w:r>
              <w:t xml:space="preserve">0.06</w:t>
            </w:r>
          </w:p>
        </w:tc>
      </w:tr>
      <w:tr>
        <w:tc>
          <w:tcPr/>
          <w:p>
            <w:pPr>
              <w:pStyle w:val="Compact"/>
              <w:jc w:val="left"/>
            </w:pPr>
            <w:r>
              <w:t xml:space="preserve">Europe Hub to Distribution (Road)</w:t>
            </w:r>
          </w:p>
        </w:tc>
        <w:tc>
          <w:tcPr/>
          <w:p>
            <w:pPr>
              <w:pStyle w:val="Compact"/>
              <w:jc w:val="left"/>
            </w:pPr>
            <w:r>
              <w:t xml:space="preserve">Road Freight (Truck)</w:t>
            </w:r>
          </w:p>
        </w:tc>
        <w:tc>
          <w:tcPr/>
          <w:p>
            <w:pPr>
              <w:pStyle w:val="Compact"/>
              <w:jc w:val="left"/>
            </w:pPr>
            <w:r>
              <w:t xml:space="preserve">1000 km</w:t>
            </w:r>
          </w:p>
        </w:tc>
        <w:tc>
          <w:tcPr/>
          <w:p>
            <w:pPr>
              <w:pStyle w:val="Compact"/>
              <w:jc w:val="left"/>
            </w:pPr>
            <w:r>
              <w:t xml:space="preserve">0.4 kg/unit (est.)</w:t>
            </w:r>
          </w:p>
        </w:tc>
        <w:tc>
          <w:tcPr/>
          <w:p>
            <w:pPr>
              <w:pStyle w:val="Compact"/>
              <w:jc w:val="left"/>
            </w:pPr>
            <w:r>
              <w:t xml:space="preserve">0.09</w:t>
            </w:r>
          </w:p>
        </w:tc>
        <w:tc>
          <w:tcPr/>
          <w:p>
            <w:pPr>
              <w:pStyle w:val="Compact"/>
              <w:jc w:val="left"/>
            </w:pPr>
            <w:r>
              <w:t xml:space="preserve">0.036</w:t>
            </w:r>
          </w:p>
        </w:tc>
      </w:tr>
      <w:tr>
        <w:tc>
          <w:tcPr/>
          <w:p>
            <w:pPr>
              <w:pStyle w:val="Compact"/>
              <w:jc w:val="left"/>
            </w:pPr>
            <w:r>
              <w:t xml:space="preserve">Last-Mile Delivery (Delivery Type)</w:t>
            </w:r>
          </w:p>
        </w:tc>
        <w:tc>
          <w:tcPr/>
          <w:p>
            <w:pPr>
              <w:pStyle w:val="Compact"/>
              <w:jc w:val="left"/>
            </w:pPr>
            <w:r>
              <w:t xml:space="preserve">Parcel Delivery (Van)</w:t>
            </w:r>
          </w:p>
        </w:tc>
        <w:tc>
          <w:tcPr/>
          <w:p>
            <w:pPr>
              <w:pStyle w:val="Compact"/>
              <w:jc w:val="left"/>
            </w:pPr>
            <w:r>
              <w:t xml:space="preserve">50 km</w:t>
            </w:r>
          </w:p>
        </w:tc>
        <w:tc>
          <w:tcPr/>
          <w:p>
            <w:pPr>
              <w:pStyle w:val="Compact"/>
              <w:jc w:val="left"/>
            </w:pPr>
            <w:r>
              <w:t xml:space="preserve">0.4 kg/unit (est.)</w:t>
            </w:r>
          </w:p>
        </w:tc>
        <w:tc>
          <w:tcPr/>
          <w:p>
            <w:pPr>
              <w:pStyle w:val="Compact"/>
              <w:jc w:val="left"/>
            </w:pPr>
            <w:r>
              <w:t xml:space="preserve">0.25</w:t>
            </w:r>
          </w:p>
        </w:tc>
        <w:tc>
          <w:tcPr/>
          <w:p>
            <w:pPr>
              <w:pStyle w:val="Compact"/>
              <w:jc w:val="left"/>
            </w:pPr>
            <w:r>
              <w:t xml:space="preserve">0.005</w:t>
            </w:r>
          </w:p>
        </w:tc>
      </w:tr>
      <w:tr>
        <w:tc>
          <w:tcPr>
            <w:gridSpan w:val="5"/>
          </w:tcPr>
          <w:p>
            <w:pPr>
              <w:pStyle w:val="Compact"/>
              <w:jc w:val="right"/>
            </w:pPr>
            <w:r>
              <w:rPr>
                <w:bCs/>
                <w:b/>
              </w:rPr>
              <w:t xml:space="preserve">Sub-total Transport Emissions:</w:t>
            </w:r>
          </w:p>
        </w:tc>
        <w:tc>
          <w:tcPr/>
          <w:p>
            <w:pPr>
              <w:pStyle w:val="Compact"/>
              <w:jc w:val="left"/>
            </w:pPr>
            <w:r>
              <w:rPr>
                <w:bCs/>
                <w:b/>
              </w:rPr>
              <w:t xml:space="preserve">0.161 kg CO2e</w:t>
            </w:r>
          </w:p>
        </w:tc>
      </w:tr>
    </w:tbl>
    <w:p>
      <w:pPr>
        <w:pStyle w:val="BodyText"/>
      </w:pPr>
      <w:r>
        <w:rPr>
          <w:iCs/>
          <w:i/>
        </w:rPr>
        <w:t xml:space="preserve">Note: Material load and product weight per unit are estimated for calculation purposes, assuming an average product weight of 0.4 kg per unit for shipping. Emission factors are simulated.</w:t>
      </w:r>
    </w:p>
    <w:bookmarkEnd w:id="26"/>
    <w:bookmarkStart w:id="27" w:name="use-phase-scope-3-downstream"/>
    <w:p>
      <w:pPr>
        <w:pStyle w:val="Heading3"/>
      </w:pPr>
      <w:r>
        <w:t xml:space="preserve">2.4. Use Phase (Scope 3 Downstream)</w:t>
      </w:r>
    </w:p>
    <w:p>
      <w:pPr>
        <w:pStyle w:val="FirstParagraph"/>
      </w:pPr>
      <w:r>
        <w:t xml:space="preserve">This phase accounts for the energy consumed by the product during its operational lifespan.</w:t>
      </w:r>
    </w:p>
    <w:p>
      <w:pPr>
        <w:numPr>
          <w:ilvl w:val="0"/>
          <w:numId w:val="1004"/>
        </w:numPr>
        <w:pStyle w:val="Compact"/>
      </w:pPr>
      <w:r>
        <w:rPr>
          <w:bCs/>
          <w:b/>
        </w:rPr>
        <w:t xml:space="preserve">Product Lifespan (leepszrxfy):</w:t>
      </w:r>
      <w:r>
        <w:t xml:space="preserve"> </w:t>
      </w:r>
      <w:r>
        <w:t xml:space="preserve">3 years</w:t>
      </w:r>
    </w:p>
    <w:p>
      <w:pPr>
        <w:numPr>
          <w:ilvl w:val="0"/>
          <w:numId w:val="1004"/>
        </w:numPr>
        <w:pStyle w:val="Compact"/>
      </w:pPr>
      <w:r>
        <w:rPr>
          <w:bCs/>
          <w:b/>
        </w:rPr>
        <w:t xml:space="preserve">Energy Consumption in Use (xfymwisnhm):</w:t>
      </w:r>
      <w:r>
        <w:t xml:space="preserve"> </w:t>
      </w:r>
      <w:r>
        <w:t xml:space="preserve">10 kWh/year</w:t>
      </w:r>
    </w:p>
    <w:p>
      <w:pPr>
        <w:numPr>
          <w:ilvl w:val="0"/>
          <w:numId w:val="1004"/>
        </w:numPr>
        <w:pStyle w:val="Compact"/>
      </w:pPr>
      <w:r>
        <w:rPr>
          <w:bCs/>
          <w:b/>
        </w:rPr>
        <w:t xml:space="preserve">Total Energy Consumption over Lifespan:</w:t>
      </w:r>
      <w:r>
        <w:t xml:space="preserve"> </w:t>
      </w:r>
      <w:r>
        <w:t xml:space="preserve">3 years * 10 kWh/year = 30 kWh</w:t>
      </w:r>
    </w:p>
    <w:p>
      <w:pPr>
        <w:pStyle w:val="FirstParagraph"/>
      </w:pPr>
      <w:r>
        <w:t xml:space="preserve">The energy mix for the use phase is assumed to be the average European grid mix, with a simulated emission factor of 0.25 kg CO2e/kWh.</w:t>
      </w:r>
    </w:p>
    <w:bookmarkEnd w:id="27"/>
    <w:bookmarkStart w:id="28" w:name="X0b1a7869ec5c89eda6252c7ad7e638ee66010db"/>
    <w:p>
      <w:pPr>
        <w:pStyle w:val="Heading3"/>
      </w:pPr>
      <w:r>
        <w:t xml:space="preserve">2.5. End-of-Life (EoL) Scenarios (Scope 3 Downstream)</w:t>
      </w:r>
    </w:p>
    <w:p>
      <w:pPr>
        <w:pStyle w:val="FirstParagraph"/>
      </w:pPr>
      <w:r>
        <w:t xml:space="preserve">The end-of-life treatment reflects circular economy impacts.</w:t>
      </w:r>
    </w:p>
    <w:p>
      <w:pPr>
        <w:numPr>
          <w:ilvl w:val="0"/>
          <w:numId w:val="1005"/>
        </w:numPr>
        <w:pStyle w:val="Compact"/>
      </w:pPr>
      <w:r>
        <w:rPr>
          <w:bCs/>
          <w:b/>
        </w:rPr>
        <w:t xml:space="preserve">Recyclability Percentage (vjovvylsvx):</w:t>
      </w:r>
      <w:r>
        <w:t xml:space="preserve"> </w:t>
      </w:r>
      <w:r>
        <w:t xml:space="preserve">60% (This implies 60% of the material weight is collected and recycled, avoiding virgin material production).</w:t>
      </w:r>
    </w:p>
    <w:p>
      <w:pPr>
        <w:numPr>
          <w:ilvl w:val="0"/>
          <w:numId w:val="1005"/>
        </w:numPr>
        <w:pStyle w:val="Compact"/>
      </w:pPr>
      <w:r>
        <w:rPr>
          <w:bCs/>
          <w:b/>
        </w:rPr>
        <w:t xml:space="preserve">Circular/Take-back Programs (gyuryfufmg):</w:t>
      </w:r>
      <w:r>
        <w:t xml:space="preserve"> </w:t>
      </w:r>
      <w:r>
        <w:t xml:space="preserve">oxmvyqdpej operates a take-back program with certified recycling partners, enhancing the effective recycling rate and reducing landfill impact.</w:t>
      </w:r>
    </w:p>
    <w:p>
      <w:pPr>
        <w:pStyle w:val="FirstParagraph"/>
      </w:pPr>
      <w:r>
        <w:t xml:space="preserve">For the remaining 40% not recycled, it\'s assumed to be disposed of, with a portion incinerated and a portion landfilled. Credit is given for avoided virgin material production for the recycled portion. Simulated EoL emission factors are applied (e.g., landfill: 1.0 kg CO2e/kg, incineration: 0.5 kg CO2e/kg, recycling credit: -2.0 kg CO2e/kg for recycled materials on average).</w:t>
      </w:r>
    </w:p>
    <w:p>
      <w:r>
        <w:pict>
          <v:rect style="width:0;height:1.5pt" o:hralign="center" o:hrstd="t" o:hr="t"/>
        </w:pict>
      </w:r>
    </w:p>
    <w:bookmarkEnd w:id="28"/>
    <w:bookmarkEnd w:id="29"/>
    <w:bookmarkStart w:id="3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For Scope 3, a minimum of 95% coverage is targeted as per 2026 requirements. The Land Sector and Removals (LSR) Standard is applied by incorporating land use change impacts where applicable, primarily within the material production factors. However, without specific land use data for each material, general factors covering average land-use impact in raw material extraction are used within the overall emission factors.</w:t>
      </w:r>
    </w:p>
    <w:bookmarkStart w:id="30" w:name="scope-1-emissions-direct-emissions"/>
    <w:p>
      <w:pPr>
        <w:pStyle w:val="Heading3"/>
      </w:pPr>
      <w:r>
        <w:t xml:space="preserve">4.1. Scope 1 Emissions (Direct Emissions)</w:t>
      </w:r>
    </w:p>
    <w:p>
      <w:pPr>
        <w:pStyle w:val="FirstParagraph"/>
      </w:pPr>
      <w:r>
        <w:t xml:space="preserve">For product hnyrsnzsxx, direct emissions from manufacturing facilities (e.g., fuel combustion on-site) are considered negligible or accounted for in the facility\'s corporate footprint, and thus are not directly allocated to the functional unit in this product PCF analysis as per `factory_gate` understanding (where only energy intensity is provided, not direct fuel consumption for production per unit). If direct fuel consumption were significant per unit, it would be included here.</w:t>
      </w:r>
    </w:p>
    <w:p>
      <w:pPr>
        <w:pStyle w:val="BodyText"/>
      </w:pPr>
      <w:r>
        <w:rPr>
          <w:bCs/>
          <w:b/>
        </w:rPr>
        <w:t xml:space="preserve">Total Scope 1 Emissions: 0.00 kg CO2e</w:t>
      </w:r>
    </w:p>
    <w:bookmarkEnd w:id="30"/>
    <w:bookmarkStart w:id="31" w:name="Xea3a0be011cd6660e8b4fde47b2db6c687f0551"/>
    <w:p>
      <w:pPr>
        <w:pStyle w:val="Heading3"/>
      </w:pPr>
      <w:r>
        <w:t xml:space="preserve">4.2. Scope 2 Emissions (Purchased Energy Emissions)</w:t>
      </w:r>
    </w:p>
    <w:p>
      <w:pPr>
        <w:pStyle w:val="FirstParagraph"/>
      </w:pPr>
      <w:r>
        <w:t xml:space="preserve">These emissions arise from the generation of purchased electricity for the manufacturing process.</w:t>
      </w:r>
    </w:p>
    <w:p>
      <w:pPr>
        <w:numPr>
          <w:ilvl w:val="0"/>
          <w:numId w:val="1006"/>
        </w:numPr>
        <w:pStyle w:val="Compact"/>
      </w:pPr>
      <w:r>
        <w:t xml:space="preserve">Total Energy Intensity: 15 kWh/unit</w:t>
      </w:r>
    </w:p>
    <w:p>
      <w:pPr>
        <w:numPr>
          <w:ilvl w:val="0"/>
          <w:numId w:val="1006"/>
        </w:numPr>
        <w:pStyle w:val="Compact"/>
      </w:pPr>
      <w:r>
        <w:t xml:space="preserve">Renewable Energy Usage: 50%</w:t>
      </w:r>
    </w:p>
    <w:p>
      <w:pPr>
        <w:numPr>
          <w:ilvl w:val="0"/>
          <w:numId w:val="1006"/>
        </w:numPr>
        <w:pStyle w:val="Compact"/>
      </w:pPr>
      <w:r>
        <w:t xml:space="preserve">Non-renewable Energy: 15 kWh/unit * 50% = 7.5 kWh/unit</w:t>
      </w:r>
    </w:p>
    <w:p>
      <w:pPr>
        <w:numPr>
          <w:ilvl w:val="0"/>
          <w:numId w:val="1006"/>
        </w:numPr>
        <w:pStyle w:val="Compact"/>
      </w:pPr>
      <w:r>
        <w:t xml:space="preserve">China Grid Emission Factor (simulated): 0.7 kg CO2e/kWh</w:t>
      </w:r>
    </w:p>
    <w:p>
      <w:pPr>
        <w:numPr>
          <w:ilvl w:val="0"/>
          <w:numId w:val="1006"/>
        </w:numPr>
        <w:pStyle w:val="Compact"/>
      </w:pPr>
      <w:r>
        <w:rPr>
          <w:bCs/>
          <w:b/>
        </w:rPr>
        <w:t xml:space="preserve">Scope 2 Emissions = 7.5 kWh/unit * 0.7 kg CO2e/kWh = 5.25 kg CO2e</w:t>
      </w:r>
    </w:p>
    <w:p>
      <w:pPr>
        <w:pStyle w:val="FirstParagraph"/>
      </w:pPr>
      <w:r>
        <w:rPr>
          <w:bCs/>
          <w:b/>
        </w:rPr>
        <w:t xml:space="preserve">Total Scope 2 Emissions: 5.25 kg CO2e</w:t>
      </w:r>
    </w:p>
    <w:bookmarkEnd w:id="31"/>
    <w:bookmarkStart w:id="37" w:name="scope-3-emissions-value-chain-emissions"/>
    <w:p>
      <w:pPr>
        <w:pStyle w:val="Heading3"/>
      </w:pPr>
      <w:r>
        <w:t xml:space="preserve">4.3. Scope 3 Emissions (Value Chain Emissions)</w:t>
      </w:r>
    </w:p>
    <w:p>
      <w:pPr>
        <w:pStyle w:val="FirstParagraph"/>
      </w:pPr>
      <w:r>
        <w:t xml:space="preserve">Scope 3 emissions are typically the largest portion of a product\'s footprint and include all other indirect emissions in the value chain. This analysis ensures comprehensive coverage, aiming for &gt;95%.</w:t>
      </w:r>
    </w:p>
    <w:bookmarkStart w:id="32" w:name="Xf252d9ecd26a2f62a79e6cfa543139e6d62b05e"/>
    <w:p>
      <w:pPr>
        <w:pStyle w:val="Heading4"/>
      </w:pPr>
      <w:r>
        <w:t xml:space="preserve">4.3.1. Category 1: Upstream Emissions from Purchased Goods &amp; Services (Materials)</w:t>
      </w:r>
    </w:p>
    <w:p>
      <w:pPr>
        <w:numPr>
          <w:ilvl w:val="0"/>
          <w:numId w:val="1007"/>
        </w:numPr>
        <w:pStyle w:val="Compact"/>
      </w:pPr>
      <w:r>
        <w:rPr>
          <w:bCs/>
          <w:b/>
        </w:rPr>
        <w:t xml:space="preserve">Total Material Emissions (from BOM table): 2.850 kg CO2e</w:t>
      </w:r>
    </w:p>
    <w:bookmarkEnd w:id="32"/>
    <w:bookmarkStart w:id="33" w:name="X6669a43143349c25ec93e775eebde43de53a73c"/>
    <w:p>
      <w:pPr>
        <w:pStyle w:val="Heading4"/>
      </w:pPr>
      <w:r>
        <w:t xml:space="preserve">4.3.2. Category 4: Upstream Transportation and Distribution</w:t>
      </w:r>
    </w:p>
    <w:p>
      <w:pPr>
        <w:numPr>
          <w:ilvl w:val="0"/>
          <w:numId w:val="1008"/>
        </w:numPr>
        <w:pStyle w:val="Compact"/>
      </w:pPr>
      <w:r>
        <w:rPr>
          <w:bCs/>
          <w:b/>
        </w:rPr>
        <w:t xml:space="preserve">Inbound Transport (Materials Europe to China): 0.06 kg CO2e</w:t>
      </w:r>
    </w:p>
    <w:bookmarkEnd w:id="33"/>
    <w:bookmarkStart w:id="34" w:name="X25a0837e2ca53a982bfb6f58a50970139f4f25f"/>
    <w:p>
      <w:pPr>
        <w:pStyle w:val="Heading4"/>
      </w:pPr>
      <w:r>
        <w:t xml:space="preserve">4.3.3. Category 9: Downstream Transportation and Distribution</w:t>
      </w:r>
    </w:p>
    <w:p>
      <w:pPr>
        <w:numPr>
          <w:ilvl w:val="0"/>
          <w:numId w:val="1009"/>
        </w:numPr>
        <w:pStyle w:val="Compact"/>
      </w:pPr>
      <w:r>
        <w:rPr>
          <w:bCs/>
          <w:b/>
        </w:rPr>
        <w:t xml:space="preserve">Outbound Transport (China to Europe Hub): 0.06 kg CO2e</w:t>
      </w:r>
    </w:p>
    <w:p>
      <w:pPr>
        <w:numPr>
          <w:ilvl w:val="0"/>
          <w:numId w:val="1009"/>
        </w:numPr>
        <w:pStyle w:val="Compact"/>
      </w:pPr>
      <w:r>
        <w:rPr>
          <w:bCs/>
          <w:b/>
        </w:rPr>
        <w:t xml:space="preserve">Europe Hub to Distribution (Road): 0.036 kg CO2e</w:t>
      </w:r>
    </w:p>
    <w:p>
      <w:pPr>
        <w:numPr>
          <w:ilvl w:val="0"/>
          <w:numId w:val="1009"/>
        </w:numPr>
        <w:pStyle w:val="Compact"/>
      </w:pPr>
      <w:r>
        <w:rPr>
          <w:bCs/>
          <w:b/>
        </w:rPr>
        <w:t xml:space="preserve">Last-Mile Delivery: 0.005 kg CO2e</w:t>
      </w:r>
    </w:p>
    <w:p>
      <w:pPr>
        <w:numPr>
          <w:ilvl w:val="0"/>
          <w:numId w:val="1009"/>
        </w:numPr>
        <w:pStyle w:val="Compact"/>
      </w:pPr>
      <w:r>
        <w:rPr>
          <w:bCs/>
          <w:b/>
        </w:rPr>
        <w:t xml:space="preserve">Total Downstream Transportation: 0.101 kg CO2e</w:t>
      </w:r>
    </w:p>
    <w:bookmarkEnd w:id="34"/>
    <w:bookmarkStart w:id="35" w:name="category-11-use-of-sold-products"/>
    <w:p>
      <w:pPr>
        <w:pStyle w:val="Heading4"/>
      </w:pPr>
      <w:r>
        <w:t xml:space="preserve">4.3.4. Category 11: Use of Sold Products</w:t>
      </w:r>
    </w:p>
    <w:p>
      <w:pPr>
        <w:numPr>
          <w:ilvl w:val="0"/>
          <w:numId w:val="1010"/>
        </w:numPr>
        <w:pStyle w:val="Compact"/>
      </w:pPr>
      <w:r>
        <w:t xml:space="preserve">Total Energy Consumption: 30 kWh</w:t>
      </w:r>
    </w:p>
    <w:p>
      <w:pPr>
        <w:numPr>
          <w:ilvl w:val="0"/>
          <w:numId w:val="1010"/>
        </w:numPr>
        <w:pStyle w:val="Compact"/>
      </w:pPr>
      <w:r>
        <w:t xml:space="preserve">European Grid Emission Factor (simulated): 0.25 kg CO2e/kWh</w:t>
      </w:r>
    </w:p>
    <w:p>
      <w:pPr>
        <w:numPr>
          <w:ilvl w:val="0"/>
          <w:numId w:val="1010"/>
        </w:numPr>
        <w:pStyle w:val="Compact"/>
      </w:pPr>
      <w:r>
        <w:rPr>
          <w:bCs/>
          <w:b/>
        </w:rPr>
        <w:t xml:space="preserve">Use Phase Emissions = 30 kWh * 0.25 kg CO2e/kWh = 7.50 kg CO2e</w:t>
      </w:r>
    </w:p>
    <w:bookmarkEnd w:id="35"/>
    <w:bookmarkStart w:id="36" w:name="X9f66eef2700632e081dfe139021cb724ffcd2c5"/>
    <w:p>
      <w:pPr>
        <w:pStyle w:val="Heading4"/>
      </w:pPr>
      <w:r>
        <w:t xml:space="preserve">4.3.5. Category 12: End-of-Life Treatment of Sold Products</w:t>
      </w:r>
    </w:p>
    <w:p>
      <w:pPr>
        <w:numPr>
          <w:ilvl w:val="0"/>
          <w:numId w:val="1011"/>
        </w:numPr>
        <w:pStyle w:val="Compact"/>
      </w:pPr>
      <w:r>
        <w:t xml:space="preserve">Total Product Weight (from BOM materials): 0.15+0.05+0.08+0.03+0.01+0.02+0.05+0.01 = 0.4 kg</w:t>
      </w:r>
    </w:p>
    <w:p>
      <w:pPr>
        <w:numPr>
          <w:ilvl w:val="0"/>
          <w:numId w:val="1011"/>
        </w:numPr>
        <w:pStyle w:val="Compact"/>
      </w:pPr>
      <w:r>
        <w:t xml:space="preserve">Recycled Portion: 0.4 kg * 60% = 0.24 kg</w:t>
      </w:r>
    </w:p>
    <w:p>
      <w:pPr>
        <w:numPr>
          <w:ilvl w:val="0"/>
          <w:numId w:val="1011"/>
        </w:numPr>
        <w:pStyle w:val="Compact"/>
      </w:pPr>
      <w:r>
        <w:t xml:space="preserve">Disposed Portion: 0.4 kg * 40% = 0.16 kg</w:t>
      </w:r>
    </w:p>
    <w:p>
      <w:pPr>
        <w:numPr>
          <w:ilvl w:val="0"/>
          <w:numId w:val="1011"/>
        </w:numPr>
        <w:pStyle w:val="Compact"/>
      </w:pPr>
      <w:r>
        <w:t xml:space="preserve">Assumed Distribution of Disposed Portion: 50% Landfill, 50% Incineration (0.08 kg each)</w:t>
      </w:r>
    </w:p>
    <w:p>
      <w:pPr>
        <w:numPr>
          <w:ilvl w:val="0"/>
          <w:numId w:val="1011"/>
        </w:numPr>
        <w:pStyle w:val="Compact"/>
      </w:pPr>
      <w:r>
        <w:t xml:space="preserve">Recycling Credit: -2.0 kg CO2e/kg * 0.24 kg = -0.48 kg CO2e</w:t>
      </w:r>
    </w:p>
    <w:p>
      <w:pPr>
        <w:numPr>
          <w:ilvl w:val="0"/>
          <w:numId w:val="1011"/>
        </w:numPr>
        <w:pStyle w:val="Compact"/>
      </w:pPr>
      <w:r>
        <w:t xml:space="preserve">Landfill Emissions: 1.0 kg CO2e/kg * 0.08 kg = 0.08 kg CO2e</w:t>
      </w:r>
    </w:p>
    <w:p>
      <w:pPr>
        <w:numPr>
          <w:ilvl w:val="0"/>
          <w:numId w:val="1011"/>
        </w:numPr>
        <w:pStyle w:val="Compact"/>
      </w:pPr>
      <w:r>
        <w:t xml:space="preserve">Incineration Emissions: 0.5 kg CO2e/kg * 0.08 kg = 0.04 kg CO2e</w:t>
      </w:r>
    </w:p>
    <w:p>
      <w:pPr>
        <w:numPr>
          <w:ilvl w:val="0"/>
          <w:numId w:val="1011"/>
        </w:numPr>
        <w:pStyle w:val="Compact"/>
      </w:pPr>
      <w:r>
        <w:rPr>
          <w:bCs/>
          <w:b/>
        </w:rPr>
        <w:t xml:space="preserve">Net End-of-Life Emissions = -0.48 + 0.08 + 0.04 = -0.36 kg CO2e</w:t>
      </w:r>
      <w:r>
        <w:t xml:space="preserve"> </w:t>
      </w:r>
      <w:r>
        <w:t xml:space="preserve">(Net credit due to high recyclability)</w:t>
      </w:r>
    </w:p>
    <w:bookmarkEnd w:id="36"/>
    <w:bookmarkEnd w:id="37"/>
    <w:bookmarkStart w:id="38"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Raw Material Acquisition</w:t>
            </w:r>
          </w:p>
        </w:tc>
        <w:tc>
          <w:tcPr/>
          <w:p>
            <w:pPr>
              <w:pStyle w:val="Compact"/>
              <w:jc w:val="left"/>
            </w:pPr>
            <w:r>
              <w:t xml:space="preserve">Scope 3 (Category 1)</w:t>
            </w:r>
          </w:p>
        </w:tc>
        <w:tc>
          <w:tcPr/>
          <w:p>
            <w:pPr>
              <w:pStyle w:val="Compact"/>
              <w:jc w:val="left"/>
            </w:pPr>
            <w:r>
              <w:t xml:space="preserve">2.850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5.250</w:t>
            </w:r>
          </w:p>
        </w:tc>
      </w:tr>
      <w:tr>
        <w:tc>
          <w:tcPr/>
          <w:p>
            <w:pPr>
              <w:pStyle w:val="Compact"/>
              <w:jc w:val="left"/>
            </w:pPr>
            <w:r>
              <w:t xml:space="preserve">Manufacturing (Direct - negligible)</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Inbound Transportation (Materials)</w:t>
            </w:r>
          </w:p>
        </w:tc>
        <w:tc>
          <w:tcPr/>
          <w:p>
            <w:pPr>
              <w:pStyle w:val="Compact"/>
              <w:jc w:val="left"/>
            </w:pPr>
            <w:r>
              <w:t xml:space="preserve">Scope 3 (Category 4)</w:t>
            </w:r>
          </w:p>
        </w:tc>
        <w:tc>
          <w:tcPr/>
          <w:p>
            <w:pPr>
              <w:pStyle w:val="Compact"/>
              <w:jc w:val="left"/>
            </w:pPr>
            <w:r>
              <w:t xml:space="preserve">0.060</w:t>
            </w:r>
          </w:p>
        </w:tc>
      </w:tr>
      <w:tr>
        <w:tc>
          <w:tcPr/>
          <w:p>
            <w:pPr>
              <w:pStyle w:val="Compact"/>
              <w:jc w:val="left"/>
            </w:pPr>
            <w:r>
              <w:t xml:space="preserve">Outbound Transportation (Product)</w:t>
            </w:r>
          </w:p>
        </w:tc>
        <w:tc>
          <w:tcPr/>
          <w:p>
            <w:pPr>
              <w:pStyle w:val="Compact"/>
              <w:jc w:val="left"/>
            </w:pPr>
            <w:r>
              <w:t xml:space="preserve">Scope 3 (Category 9)</w:t>
            </w:r>
          </w:p>
        </w:tc>
        <w:tc>
          <w:tcPr/>
          <w:p>
            <w:pPr>
              <w:pStyle w:val="Compact"/>
              <w:jc w:val="left"/>
            </w:pPr>
            <w:r>
              <w:t xml:space="preserve">0.101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-0.360</w:t>
            </w:r>
          </w:p>
        </w:tc>
      </w:tr>
      <w:tr>
        <w:tc>
          <w:tcPr>
            <w:gridSpan w:val="2"/>
          </w:tcPr>
          <w:p>
            <w:pPr>
              <w:pStyle w:val="Compact"/>
              <w:jc w:val="right"/>
            </w:pPr>
            <w:r>
              <w:rPr>
                <w:bCs/>
                <w:b/>
              </w:rPr>
              <w:t xml:space="preserve">Total Product Carbon Footprint (per 1.0 unit):</w:t>
            </w:r>
          </w:p>
        </w:tc>
        <w:tc>
          <w:tcPr/>
          <w:p>
            <w:pPr>
              <w:pStyle w:val="Compact"/>
              <w:jc w:val="left"/>
            </w:pPr>
            <w:r>
              <w:rPr>
                <w:bCs/>
                <w:b/>
              </w:rPr>
              <w:t xml:space="preserve">15.401 kg CO2e</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hotspot-identification"/>
    <w:p>
      <w:pPr>
        <w:pStyle w:val="Heading3"/>
      </w:pPr>
      <w:r>
        <w:t xml:space="preserve">5.1. Hotspot Identification</w:t>
      </w:r>
    </w:p>
    <w:p>
      <w:pPr>
        <w:pStyle w:val="FirstParagraph"/>
      </w:pPr>
      <w:r>
        <w:t xml:space="preserve">The analysis reveals the primary emission hotspots for hnyrsnzsxx:</w:t>
      </w:r>
    </w:p>
    <w:p>
      <w:pPr>
        <w:numPr>
          <w:ilvl w:val="0"/>
          <w:numId w:val="1012"/>
        </w:numPr>
        <w:pStyle w:val="Compact"/>
      </w:pPr>
      <w:r>
        <w:rPr>
          <w:bCs/>
          <w:b/>
        </w:rPr>
        <w:t xml:space="preserve">Use Phase (7.50 kg CO2e / 48.7%):</w:t>
      </w:r>
      <w:r>
        <w:t xml:space="preserve"> </w:t>
      </w:r>
      <w:r>
        <w:t xml:space="preserve">This is the largest contributor, primarily due to the electricity consumption over the product\'s 3-year lifespan. Reducing energy consumption during use or encouraging the use of renewable energy sources by consumers would significantly reduce this impact.</w:t>
      </w:r>
    </w:p>
    <w:p>
      <w:pPr>
        <w:numPr>
          <w:ilvl w:val="0"/>
          <w:numId w:val="1012"/>
        </w:numPr>
        <w:pStyle w:val="Compact"/>
      </w:pPr>
      <w:r>
        <w:rPr>
          <w:bCs/>
          <w:b/>
        </w:rPr>
        <w:t xml:space="preserve">Manufacturing (Scope 2 Energy) (5.25 kg CO2e / 34.1%):</w:t>
      </w:r>
      <w:r>
        <w:t xml:space="preserve"> </w:t>
      </w:r>
      <w:r>
        <w:t xml:space="preserve">The electricity used in the production facility in China is the second major hotspot. Increasing the renewable energy usage beyond the current 50% in manufacturing operations is crucial.</w:t>
      </w:r>
    </w:p>
    <w:p>
      <w:pPr>
        <w:numPr>
          <w:ilvl w:val="0"/>
          <w:numId w:val="1012"/>
        </w:numPr>
        <w:pStyle w:val="Compact"/>
      </w:pPr>
      <w:r>
        <w:rPr>
          <w:bCs/>
          <w:b/>
        </w:rPr>
        <w:t xml:space="preserve">Raw Material Acquisition (2.85 kg CO2e / 18.5%):</w:t>
      </w:r>
      <w:r>
        <w:t xml:space="preserve"> </w:t>
      </w:r>
      <w:r>
        <w:t xml:space="preserve">The production of materials, particularly the battery and PCB, contributes significantly. Efforts should focus on sourcing lower-carbon materials, increasing recycled content, and engaging with suppliers on their decarbonization efforts.</w:t>
      </w:r>
    </w:p>
    <w:p>
      <w:pPr>
        <w:numPr>
          <w:ilvl w:val="0"/>
          <w:numId w:val="1012"/>
        </w:numPr>
        <w:pStyle w:val="Compact"/>
      </w:pPr>
      <w:r>
        <w:t xml:space="preserve">Transportation and End-of-Life, while important, contribute a smaller percentage to the overall footprint in this specific analysis. The negative EoL footprint indicates a beneficial impact from effective recycling programs.</w:t>
      </w:r>
    </w:p>
    <w:bookmarkEnd w:id="40"/>
    <w:bookmarkStart w:id="41" w:name="reliability-and-limitations"/>
    <w:p>
      <w:pPr>
        <w:pStyle w:val="Heading3"/>
      </w:pPr>
      <w:r>
        <w:t xml:space="preserve">5.2. Reliability and Limitations</w:t>
      </w:r>
    </w:p>
    <w:p>
      <w:pPr>
        <w:pStyle w:val="FirstParagraph"/>
      </w:pPr>
      <w:r>
        <w:t xml:space="preserve">The reliability of this PCF analysis is based on the following:</w:t>
      </w:r>
    </w:p>
    <w:p>
      <w:pPr>
        <w:numPr>
          <w:ilvl w:val="0"/>
          <w:numId w:val="1013"/>
        </w:numPr>
        <w:pStyle w:val="Compact"/>
      </w:pPr>
      <w:r>
        <w:rPr>
          <w:bCs/>
          <w:b/>
        </w:rPr>
        <w:t xml:space="preserve">Adherence to GHG Protocol:</w:t>
      </w:r>
      <w:r>
        <w:t xml:space="preserve"> </w:t>
      </w:r>
      <w:r>
        <w:t xml:space="preserve">The methodology strictly follows the GHG Protocol Product Standard, ensuring consistency and comparability.</w:t>
      </w:r>
    </w:p>
    <w:p>
      <w:pPr>
        <w:numPr>
          <w:ilvl w:val="0"/>
          <w:numId w:val="1013"/>
        </w:numPr>
        <w:pStyle w:val="Compact"/>
      </w:pPr>
      <w:r>
        <w:rPr>
          <w:bCs/>
          <w:b/>
        </w:rPr>
        <w:t xml:space="preserve">Detailed BOM:</w:t>
      </w:r>
      <w:r>
        <w:t xml:space="preserve"> </w:t>
      </w:r>
      <w:r>
        <w:t xml:space="preserve">The use of a detailed Bill of Materials (xvedlwny) significantly improves the accuracy of material-related emissions compared to generic estimates.</w:t>
      </w:r>
    </w:p>
    <w:p>
      <w:pPr>
        <w:numPr>
          <w:ilvl w:val="0"/>
          <w:numId w:val="1013"/>
        </w:numPr>
        <w:pStyle w:val="Compact"/>
      </w:pPr>
      <w:r>
        <w:rPr>
          <w:bCs/>
          <w:b/>
        </w:rPr>
        <w:t xml:space="preserve">Specific Parameters:</w:t>
      </w:r>
      <w:r>
        <w:t xml:space="preserve"> </w:t>
      </w:r>
      <w:r>
        <w:t xml:space="preserve">Incorporating specific transport, energy, lifespan, and EoL data enhances the realism of the calculations.</w:t>
      </w:r>
    </w:p>
    <w:p>
      <w:pPr>
        <w:pStyle w:val="FirstParagraph"/>
      </w:pPr>
      <w:r>
        <w:t xml:space="preserve">Limitations include:</w:t>
      </w:r>
    </w:p>
    <w:p>
      <w:pPr>
        <w:numPr>
          <w:ilvl w:val="0"/>
          <w:numId w:val="1014"/>
        </w:numPr>
        <w:pStyle w:val="Compact"/>
      </w:pPr>
      <w:r>
        <w:rPr>
          <w:bCs/>
          <w:b/>
        </w:rPr>
        <w:t xml:space="preserve">Simulated Emission Factors:</w:t>
      </w:r>
      <w:r>
        <w:t xml:space="preserve"> </w:t>
      </w:r>
      <w:r>
        <w:t xml:space="preserve">While representative, the emission factors used for materials, energy grids, and transport are simulated based on industry averages (Ecoinvent/DEFRA equivalents) due to the absence of direct access to specific databases. Real-world values might vary.</w:t>
      </w:r>
    </w:p>
    <w:p>
      <w:pPr>
        <w:numPr>
          <w:ilvl w:val="0"/>
          <w:numId w:val="1014"/>
        </w:numPr>
        <w:pStyle w:val="Compact"/>
      </w:pPr>
      <w:r>
        <w:rPr>
          <w:bCs/>
          <w:b/>
        </w:rPr>
        <w:t xml:space="preserve">Geographic Specificity:</w:t>
      </w:r>
      <w:r>
        <w:t xml:space="preserve"> </w:t>
      </w:r>
      <w:r>
        <w:t xml:space="preserve">General emission factors for China and Europe have been used, which may not capture the nuances of specific regional energy mixes or logistical efficiencies.</w:t>
      </w:r>
    </w:p>
    <w:p>
      <w:pPr>
        <w:numPr>
          <w:ilvl w:val="0"/>
          <w:numId w:val="1014"/>
        </w:numPr>
        <w:pStyle w:val="Compact"/>
      </w:pPr>
      <w:r>
        <w:rPr>
          <w:bCs/>
          <w:b/>
        </w:rPr>
        <w:t xml:space="preserve">Data Gaps:</w:t>
      </w:r>
      <w:r>
        <w:t xml:space="preserve"> </w:t>
      </w:r>
      <w:r>
        <w:t xml:space="preserve">Assumptions were made for certain data points where specific values were not provided (e.g., precise material weights for shipping, breakdown of disposed waste into landfill/incineration), impacting precision.</w:t>
      </w:r>
    </w:p>
    <w:p>
      <w:pPr>
        <w:numPr>
          <w:ilvl w:val="0"/>
          <w:numId w:val="1014"/>
        </w:numPr>
        <w:pStyle w:val="Compact"/>
      </w:pPr>
      <w:r>
        <w:rPr>
          <w:bCs/>
          <w:b/>
        </w:rPr>
        <w:t xml:space="preserve">LSR Standard Application:</w:t>
      </w:r>
      <w:r>
        <w:t xml:space="preserve"> </w:t>
      </w:r>
      <w:r>
        <w:t xml:space="preserve">While acknowledged, the detailed application of the 2026 LSR Standard for specific land use change impacts per material would require more granular data than typically available in a PCF without extensive primary data collection.</w:t>
      </w:r>
    </w:p>
    <w:bookmarkEnd w:id="41"/>
    <w:bookmarkStart w:id="43" w:name="recommendations-for-reduction"/>
    <w:p>
      <w:pPr>
        <w:pStyle w:val="Heading3"/>
      </w:pPr>
      <w:r>
        <w:t xml:space="preserve">5.3. Recommendations for Reduction</w:t>
      </w:r>
    </w:p>
    <w:p>
      <w:pPr>
        <w:pStyle w:val="FirstParagraph"/>
      </w:pPr>
      <w:r>
        <w:t xml:space="preserve">Based on the identified hotspots, oxmvyqdpej should consider the following strategies to reduce the PCF of hnyrsnzsxx:</w:t>
      </w:r>
    </w:p>
    <w:p>
      <w:pPr>
        <w:numPr>
          <w:ilvl w:val="0"/>
          <w:numId w:val="1015"/>
        </w:numPr>
        <w:pStyle w:val="Compact"/>
      </w:pPr>
      <w:r>
        <w:rPr>
          <w:bCs/>
          <w:b/>
        </w:rPr>
        <w:t xml:space="preserve">Energy Efficiency &amp; Renewables in Use Phase:</w:t>
      </w:r>
      <w:r>
        <w:t xml:space="preserve"> </w:t>
      </w:r>
      <w:r>
        <w:t xml:space="preserve">Invest in R&amp;D to improve the energy efficiency of hnyrsnzsxx. Explore product design that encourages or defaults to low-carbon energy sources for charging/operation by the end-user.</w:t>
      </w:r>
    </w:p>
    <w:p>
      <w:pPr>
        <w:numPr>
          <w:ilvl w:val="0"/>
          <w:numId w:val="1015"/>
        </w:numPr>
        <w:pStyle w:val="Compact"/>
      </w:pPr>
      <w:r>
        <w:rPr>
          <w:bCs/>
          <w:b/>
        </w:rPr>
        <w:t xml:space="preserve">Decarbonize Manufacturing Energy:</w:t>
      </w:r>
      <w:r>
        <w:t xml:space="preserve"> </w:t>
      </w:r>
      <w:r>
        <w:t xml:space="preserve">Increase the proportion of renewable energy used in manufacturing facilities in China beyond 50%. This could involve on-site renewables, power purchase agreements (PPAs), or high-quality renewable energy certificates.</w:t>
      </w:r>
    </w:p>
    <w:p>
      <w:pPr>
        <w:numPr>
          <w:ilvl w:val="0"/>
          <w:numId w:val="1015"/>
        </w:numPr>
        <w:pStyle w:val="Compact"/>
      </w:pPr>
      <w:r>
        <w:rPr>
          <w:bCs/>
          <w:b/>
        </w:rPr>
        <w:t xml:space="preserve">Sustainable Material Sourcing:</w:t>
      </w:r>
      <w:r>
        <w:t xml:space="preserve"> </w:t>
      </w:r>
      <w:r>
        <w:t xml:space="preserve">Collaborate with suppliers to identify and procure lower-carbon raw materials. Explore materials with higher recycled content or bio-based alternatives, especially for the battery and PCB components.</w:t>
      </w:r>
    </w:p>
    <w:p>
      <w:pPr>
        <w:numPr>
          <w:ilvl w:val="0"/>
          <w:numId w:val="1015"/>
        </w:numPr>
        <w:pStyle w:val="Compact"/>
      </w:pPr>
      <w:r>
        <w:rPr>
          <w:bCs/>
          <w:b/>
        </w:rPr>
        <w:t xml:space="preserve">Enhance Circularity:</w:t>
      </w:r>
      <w:r>
        <w:t xml:space="preserve"> </w:t>
      </w:r>
      <w:r>
        <w:t xml:space="preserve">Further strengthen the take-back program (gyuryfufmg) to maximize collection and recycling rates (vjovvylsvx), potentially exploring refurbishment or remanufacturing options to extend product lifespan.</w:t>
      </w:r>
    </w:p>
    <w:p>
      <w:pPr>
        <w:numPr>
          <w:ilvl w:val="0"/>
          <w:numId w:val="1015"/>
        </w:numPr>
        <w:pStyle w:val="Compact"/>
      </w:pPr>
      <w:r>
        <w:rPr>
          <w:bCs/>
          <w:b/>
        </w:rPr>
        <w:t xml:space="preserve">Supply Chain Engagement:</w:t>
      </w:r>
      <w:r>
        <w:t xml:space="preserve"> </w:t>
      </w:r>
      <w:r>
        <w:t xml:space="preserve">Work with logistics providers to optimize transport routes, utilize more efficient modes (e.g., shifting from air to sea freight where feasible), and encourage the adoption of lower-emission fuels or electric vehicles.</w:t>
      </w:r>
    </w:p>
    <w:p>
      <w:pPr>
        <w:pStyle w:val="FirstParagraph"/>
      </w:pPr>
      <w:r>
        <w:t xml:space="preserve">Confidential - Internal Use Only</w:t>
      </w:r>
    </w:p>
    <w:p>
      <w:pPr>
        <w:pStyle w:val="BodyText"/>
      </w:pPr>
      <w:r>
        <w:t xml:space="preserve">Page</w:t>
      </w:r>
      <w:r>
        <w:t xml:space="preserve"> </w:t>
      </w:r>
      <w:bookmarkStart w:id="42" w:name="pageNumbe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hnyrsnzsxx</dc:title>
  <dc:creator/>
  <dc:description>Detailed Product Carbon Footprint (PCF) analysis report for hnyrsnzsxx, performed by Senior Sustainability Consultant rnhfyyetss for oxmvyqdpej, adhering to GHG Protocol and 2026 LSR Update.</dc:description>
  <cp:keywords/>
  <dcterms:created xsi:type="dcterms:W3CDTF">2026-05-30T16:50:55Z</dcterms:created>
  <dcterms:modified xsi:type="dcterms:W3CDTF">2026-05-30T16:50:55Z</dcterms:modified>
</cp:coreProperties>
</file>

<file path=docProps/custom.xml><?xml version="1.0" encoding="utf-8"?>
<Properties xmlns="http://schemas.openxmlformats.org/officeDocument/2006/custom-properties" xmlns:vt="http://schemas.openxmlformats.org/officeDocument/2006/docPropsVTypes"/>
</file>