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hnusstqnuu</w:t>
      </w:r>
    </w:p>
    <w:bookmarkStart w:id="20" w:name="carboncalcpcf.com"/>
    <w:p>
      <w:pPr>
        <w:pStyle w:val="Heading2"/>
      </w:pPr>
      <w:r>
        <w:t xml:space="preserve">carboncalcpcf.com</w:t>
      </w:r>
    </w:p>
    <w:bookmarkEnd w:id="20"/>
    <w:bookmarkStart w:id="21" w:name="product-carbon-footprint-analysis-report"/>
    <w:p>
      <w:pPr>
        <w:pStyle w:val="Heading1"/>
      </w:pPr>
      <w:r>
        <w:t xml:space="preserve">Product Carbon Footprint Analysis Report</w:t>
      </w:r>
    </w:p>
    <w:p>
      <w:pPr>
        <w:pStyle w:val="FirstParagraph"/>
      </w:pPr>
      <w:r>
        <w:t xml:space="preserve">**Product:** hnusstqnuu</w:t>
      </w:r>
    </w:p>
    <w:p>
      <w:pPr>
        <w:pStyle w:val="BodyText"/>
      </w:pPr>
      <w:r>
        <w:t xml:space="preserve">**Company Name:** dudepsjzix</w:t>
      </w:r>
    </w:p>
    <w:p>
      <w:pPr>
        <w:pStyle w:val="BodyText"/>
      </w:pPr>
      <w:r>
        <w:t xml:space="preserve">**Accounting Standard:** GHG Protocol</w:t>
      </w:r>
    </w:p>
    <w:p>
      <w:pPr>
        <w:pStyle w:val="BodyText"/>
      </w:pPr>
      <w:r>
        <w:t xml:space="preserve">**Senior Sustainability Consultant:** emiltpijjg</w:t>
      </w:r>
    </w:p>
    <w:p>
      <w:pPr>
        <w:pStyle w:val="BodyText"/>
      </w:pPr>
      <w:r>
        <w:t xml:space="preserve">*Disclaimer: This report is generated based on available data and industry standards.</w:t>
      </w:r>
      <w:r>
        <w:t xml:space="preserve"> </w:t>
      </w:r>
      <w:r>
        <w:t xml:space="preserve">All numerical inputs derived from placeholder parameters are illustrative and used</w:t>
      </w:r>
      <w:r>
        <w:t xml:space="preserve"> </w:t>
      </w:r>
      <w:r>
        <w:t xml:space="preserve">to demonstrate the applied methodology. Actual values would require primary data</w:t>
      </w:r>
      <w:r>
        <w:t xml:space="preserve"> </w:t>
      </w:r>
      <w:r>
        <w:t xml:space="preserve">collection for precise analysis.*</w:t>
      </w:r>
    </w:p>
    <w:bookmarkEnd w:id="21"/>
    <w:bookmarkStart w:id="39" w:name="X2ce4141e159150898035bceda39797c37338110"/>
    <w:p>
      <w:pPr>
        <w:pStyle w:val="Heading1"/>
      </w:pPr>
      <w:r>
        <w:t xml:space="preserve">Product Carbon Footprint Analysis Report for hnusstqnuu</w:t>
      </w:r>
    </w:p>
    <w:p>
      <w:pPr>
        <w:pStyle w:val="FirstParagraph"/>
      </w:pPr>
      <w:r>
        <w:rPr>
          <w:bCs/>
          <w:b/>
        </w:rPr>
        <w:t xml:space="preserve">Generated Date:</w:t>
      </w:r>
      <w:r>
        <w:t xml:space="preserve"> </w:t>
      </w:r>
      <w:r>
        <w:t xml:space="preserve">June 1,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detailed Product Carbon Footprint (PCF) analysis for the product hnusstqnuu,</w:t>
      </w:r>
      <w:r>
        <w:t xml:space="preserve"> </w:t>
      </w:r>
      <w:r>
        <w:t xml:space="preserve">manufactured by dudepsjzix. The analysis adheres strictly to the GHG Protocol standards,</w:t>
      </w:r>
      <w:r>
        <w:t xml:space="preserve"> </w:t>
      </w:r>
      <w:r>
        <w:t xml:space="preserve">including the 2026 Land Sector and Removals (LSR) Update and aims for at least 95% coverage for Scope 3 emissions.</w:t>
      </w:r>
      <w:r>
        <w:t xml:space="preserve"> </w:t>
      </w:r>
      <w:r>
        <w:t xml:space="preserve">The PCF calculation provides insights into the greenhouse gas (GHG) emissions across the product\'s</w:t>
      </w:r>
      <w:r>
        <w:t xml:space="preserve"> </w:t>
      </w:r>
      <w:r>
        <w:t xml:space="preserve">lifecycle, identifying hotspots and opportunities for reduction. Based on the illustrative data provided,</w:t>
      </w:r>
      <w:r>
        <w:t xml:space="preserve"> </w:t>
      </w:r>
      <w:r>
        <w:t xml:space="preserve">the total cradle-to-grave carbon footprint for one functional unit of hnusstqnuu is estimated at</w:t>
      </w:r>
      <w:r>
        <w:t xml:space="preserve"> </w:t>
      </w:r>
      <w:r>
        <w:rPr>
          <w:bCs/>
          <w:b/>
        </w:rPr>
        <w:t xml:space="preserve">114.48 kgCO2e</w:t>
      </w:r>
      <w:r>
        <w:t xml:space="preserve">. The upstream supply chain, particularly material acquisition and transportation,</w:t>
      </w:r>
      <w:r>
        <w:t xml:space="preserve"> </w:t>
      </w:r>
      <w:r>
        <w:t xml:space="preserve">represents a significant portion of the total footprint.</w:t>
      </w:r>
    </w:p>
    <w:p>
      <w:r>
        <w:pict>
          <v:rect style="width:0;height:1.5pt" o:hralign="center" o:hrstd="t" o:hr="t"/>
        </w:pict>
      </w:r>
    </w:p>
    <w:bookmarkEnd w:id="22"/>
    <w:bookmarkStart w:id="25" w:name="methodology-and-scope-definition"/>
    <w:p>
      <w:pPr>
        <w:pStyle w:val="Heading2"/>
      </w:pPr>
      <w:r>
        <w:t xml:space="preserve">1. Methodology and Scope Definition</w:t>
      </w:r>
    </w:p>
    <w:p>
      <w:pPr>
        <w:pStyle w:val="FirstParagraph"/>
      </w:pPr>
      <w:r>
        <w:t xml:space="preserve">The Product Carbon Footprint (PCF) analysis for hnusstqnuu follows a five-step methodology</w:t>
      </w:r>
      <w:r>
        <w:t xml:space="preserve"> </w:t>
      </w:r>
      <w:r>
        <w:t xml:space="preserve">aligned with the GHG Protocol Product Standard.</w:t>
      </w:r>
    </w:p>
    <w:bookmarkStart w:id="23" w:name="methodology-overview"/>
    <w:p>
      <w:pPr>
        <w:pStyle w:val="Heading3"/>
      </w:pPr>
      <w:r>
        <w:t xml:space="preserve">1.1. Methodology Overview:</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and map all relevant lifecycle stages and associated inventory items.</w:t>
      </w:r>
    </w:p>
    <w:p>
      <w:pPr>
        <w:numPr>
          <w:ilvl w:val="0"/>
          <w:numId w:val="1001"/>
        </w:numPr>
        <w:pStyle w:val="Compact"/>
      </w:pPr>
      <w:r>
        <w:rPr>
          <w:bCs/>
          <w:b/>
        </w:rPr>
        <w:t xml:space="preserve">Collect Data:</w:t>
      </w:r>
      <w:r>
        <w:t xml:space="preserve"> </w:t>
      </w:r>
      <w:r>
        <w:t xml:space="preserve">Gather primary and secondary data points for each stage.</w:t>
      </w:r>
    </w:p>
    <w:p>
      <w:pPr>
        <w:numPr>
          <w:ilvl w:val="0"/>
          <w:numId w:val="1001"/>
        </w:numPr>
        <w:pStyle w:val="Compact"/>
      </w:pPr>
      <w:r>
        <w:rPr>
          <w:bCs/>
          <w:b/>
        </w:rPr>
        <w:t xml:space="preserve">Calculate Emissions:</w:t>
      </w:r>
      <w:r>
        <w:t xml:space="preserve"> </w:t>
      </w:r>
      <w:r>
        <w:t xml:space="preserve">Quantify GHG emissions by multiplying activity data with appropriate emission factors.</w:t>
      </w:r>
    </w:p>
    <w:p>
      <w:pPr>
        <w:numPr>
          <w:ilvl w:val="0"/>
          <w:numId w:val="1001"/>
        </w:numPr>
        <w:pStyle w:val="Compact"/>
      </w:pPr>
      <w:r>
        <w:rPr>
          <w:bCs/>
          <w:b/>
        </w:rPr>
        <w:t xml:space="preserve">Review &amp; Report:</w:t>
      </w:r>
      <w:r>
        <w:t xml:space="preserve"> </w:t>
      </w:r>
      <w:r>
        <w:t xml:space="preserve">Analyze results, identify hotspots, assess reliability, and present findings.</w:t>
      </w:r>
    </w:p>
    <w:bookmarkEnd w:id="23"/>
    <w:bookmarkStart w:id="24" w:name="scope-definition"/>
    <w:p>
      <w:pPr>
        <w:pStyle w:val="Heading3"/>
      </w:pPr>
      <w:r>
        <w:t xml:space="preserve">1.2. Scope Definition:</w:t>
      </w:r>
    </w:p>
    <w:p>
      <w:pPr>
        <w:numPr>
          <w:ilvl w:val="0"/>
          <w:numId w:val="1002"/>
        </w:numPr>
        <w:pStyle w:val="Compact"/>
      </w:pPr>
      <w:r>
        <w:rPr>
          <w:bCs/>
          <w:b/>
        </w:rPr>
        <w:t xml:space="preserve">Functional Unit:</w:t>
      </w:r>
      <w:r>
        <w:t xml:space="preserve"> </w:t>
      </w:r>
      <w:r>
        <w:t xml:space="preserve">1.0 unit of hnusstqnuu.</w:t>
      </w:r>
    </w:p>
    <w:p>
      <w:pPr>
        <w:numPr>
          <w:ilvl w:val="0"/>
          <w:numId w:val="1002"/>
        </w:numPr>
        <w:pStyle w:val="Compact"/>
      </w:pPr>
      <w:r>
        <w:rPr>
          <w:bCs/>
          <w:b/>
        </w:rPr>
        <w:t xml:space="preserve">System Boundary:</w:t>
      </w:r>
      <w:r>
        <w:t xml:space="preserve"> </w:t>
      </w:r>
      <w:r>
        <w:t xml:space="preserve">Factory Gate, extending to include cradle-to-grave impacts. This includes material acquisition, manufacturing, transportation to customer, use phase, and end-of-life.</w:t>
      </w:r>
    </w:p>
    <w:p>
      <w:pPr>
        <w:numPr>
          <w:ilvl w:val="0"/>
          <w:numId w:val="1002"/>
        </w:numPr>
        <w:pStyle w:val="Compact"/>
      </w:pPr>
      <w:r>
        <w:rPr>
          <w:bCs/>
          <w:b/>
        </w:rPr>
        <w:t xml:space="preserve">Geographic Scope:</w:t>
      </w:r>
      <w:r>
        <w:t xml:space="preserve"> </w:t>
      </w:r>
      <w:r>
        <w:t xml:space="preserve">Final production occurs in China, with a supply chain focus on Europe for sourcing and distribution.</w:t>
      </w:r>
    </w:p>
    <w:p>
      <w:pPr>
        <w:numPr>
          <w:ilvl w:val="0"/>
          <w:numId w:val="1002"/>
        </w:numPr>
        <w:pStyle w:val="Compact"/>
      </w:pPr>
      <w:r>
        <w:rPr>
          <w:bCs/>
          <w:b/>
        </w:rPr>
        <w:t xml:space="preserve">Accounting Standard:</w:t>
      </w:r>
      <w:r>
        <w:t xml:space="preserve"> </w:t>
      </w:r>
      <w:r>
        <w:t xml:space="preserve">GHG Protocol Product Standard, incorporating the latest 2026 Land Sector and Removals (LSR) Standard for land use and carbon removals, and ensuring at least 95% coverage for Scope 3 reporting as per 2026 requirements.</w:t>
      </w:r>
    </w:p>
    <w:p>
      <w:pPr>
        <w:numPr>
          <w:ilvl w:val="0"/>
          <w:numId w:val="1002"/>
        </w:numPr>
        <w:pStyle w:val="Compact"/>
      </w:pPr>
      <w:r>
        <w:rPr>
          <w:bCs/>
          <w:b/>
        </w:rPr>
        <w:t xml:space="preserve">Allocation:</w:t>
      </w:r>
      <w:r>
        <w:t xml:space="preserve"> </w:t>
      </w:r>
      <w:r>
        <w:t xml:space="preserve">Mass-based allocation is applied where co-production or recycling is considered.</w:t>
      </w:r>
    </w:p>
    <w:p>
      <w:r>
        <w:pict>
          <v:rect style="width:0;height:1.5pt" o:hralign="center" o:hrstd="t" o:hr="t"/>
        </w:pict>
      </w:r>
    </w:p>
    <w:bookmarkEnd w:id="24"/>
    <w:bookmarkEnd w:id="25"/>
    <w:bookmarkStart w:id="31" w:name="lifecycle-mapping-and-data-collection"/>
    <w:p>
      <w:pPr>
        <w:pStyle w:val="Heading2"/>
      </w:pPr>
      <w:r>
        <w:t xml:space="preserve">2. Lifecycle Mapping and Data Collection</w:t>
      </w:r>
    </w:p>
    <w:p>
      <w:pPr>
        <w:pStyle w:val="FirstParagraph"/>
      </w:pPr>
      <w:r>
        <w:t xml:space="preserve">This section details the primary and secondary data collected for each stage of hnusstqnuu\'s lifecycle,</w:t>
      </w:r>
      <w:r>
        <w:t xml:space="preserve"> </w:t>
      </w:r>
      <w:r>
        <w:t xml:space="preserve">categorized according to the GHG Protocol scopes. It is important to note that specific parameter values</w:t>
      </w:r>
      <w:r>
        <w:t xml:space="preserve"> </w:t>
      </w:r>
      <w:r>
        <w:t xml:space="preserve">(e.g.,</w:t>
      </w:r>
      <w:r>
        <w:t xml:space="preserve"> </w:t>
      </w:r>
      <w:r>
        <w:rPr>
          <w:rStyle w:val="VerbatimChar"/>
        </w:rPr>
        <w:t xml:space="preserve">psdrjrse</w:t>
      </w:r>
      <w:r>
        <w:t xml:space="preserve">,</w:t>
      </w:r>
      <w:r>
        <w:t xml:space="preserve"> </w:t>
      </w:r>
      <w:r>
        <w:rPr>
          <w:rStyle w:val="VerbatimChar"/>
        </w:rPr>
        <w:t xml:space="preserve">wmjvksdrrm</w:t>
      </w:r>
      <w:r>
        <w:t xml:space="preserve">,</w:t>
      </w:r>
      <w:r>
        <w:t xml:space="preserve"> </w:t>
      </w:r>
      <w:r>
        <w:rPr>
          <w:rStyle w:val="VerbatimChar"/>
        </w:rPr>
        <w:t xml:space="preserve">vsuzrllmmj</w:t>
      </w:r>
      <w:r>
        <w:t xml:space="preserve">,</w:t>
      </w:r>
      <w:r>
        <w:t xml:space="preserve"> </w:t>
      </w:r>
      <w:r>
        <w:rPr>
          <w:rStyle w:val="VerbatimChar"/>
        </w:rPr>
        <w:t xml:space="preserve">ofjkhkqlow</w:t>
      </w:r>
      <w:r>
        <w:t xml:space="preserve">,</w:t>
      </w:r>
      <w:r>
        <w:t xml:space="preserve"> </w:t>
      </w:r>
      <w:r>
        <w:rPr>
          <w:rStyle w:val="VerbatimChar"/>
        </w:rPr>
        <w:t xml:space="preserve">htykzqlwvp</w:t>
      </w:r>
      <w:r>
        <w:t xml:space="preserve">,</w:t>
      </w:r>
      <w:r>
        <w:t xml:space="preserve"> </w:t>
      </w:r>
      <w:r>
        <w:rPr>
          <w:rStyle w:val="VerbatimChar"/>
        </w:rPr>
        <w:t xml:space="preserve">lqmiqpqwko</w:t>
      </w:r>
      <w:r>
        <w:t xml:space="preserve">,</w:t>
      </w:r>
      <w:r>
        <w:t xml:space="preserve"> </w:t>
      </w:r>
      <w:r>
        <w:rPr>
          <w:rStyle w:val="VerbatimChar"/>
        </w:rPr>
        <w:t xml:space="preserve">qpdfnmjeos</w:t>
      </w:r>
      <w:r>
        <w:t xml:space="preserve">,</w:t>
      </w:r>
      <w:r>
        <w:t xml:space="preserve"> </w:t>
      </w:r>
      <w:r>
        <w:rPr>
          <w:rStyle w:val="VerbatimChar"/>
        </w:rPr>
        <w:t xml:space="preserve">dkpzjoppqp</w:t>
      </w:r>
      <w:r>
        <w:t xml:space="preserve">) were provided as placeholders. Therefore, illustrative numerical</w:t>
      </w:r>
      <w:r>
        <w:t xml:space="preserve"> </w:t>
      </w:r>
      <w:r>
        <w:t xml:space="preserve">values and representative scenarios are used below to demonstrate the calculation methodology.</w:t>
      </w:r>
    </w:p>
    <w:bookmarkStart w:id="26" w:name="materials-scope-3---upstream"/>
    <w:p>
      <w:pPr>
        <w:pStyle w:val="Heading3"/>
      </w:pPr>
      <w:r>
        <w:t xml:space="preserve">2.1. Materials (Scope 3 - Upstream):</w:t>
      </w:r>
    </w:p>
    <w:p>
      <w:pPr>
        <w:pStyle w:val="FirstParagraph"/>
      </w:pPr>
      <w:r>
        <w:t xml:space="preserve">The Detailed Bill of Materials (BOM) was provided as a format description (</w:t>
      </w:r>
      <w:r>
        <w:rPr>
          <w:rStyle w:val="VerbatimChar"/>
        </w:rPr>
        <w:t xml:space="preserve">psdrjrse</w:t>
      </w:r>
      <w:r>
        <w:t xml:space="preserve">: "ID, Description, Category, Process, Qty, Unit, Emission Factor, Total Carbon") rather than specific data. For this analysis, an illustrative BOM has been constructed using plausible materials and their respective quantities and emission factors, ensuring the methodology is accurately demonstrated.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ID101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14.77</w:t>
            </w:r>
          </w:p>
        </w:tc>
        <w:tc>
          <w:tcPr/>
          <w:p>
            <w:pPr>
              <w:pStyle w:val="Compact"/>
              <w:jc w:val="left"/>
            </w:pPr>
            <w:r>
              <w:t xml:space="preserve">7.385</w:t>
            </w:r>
          </w:p>
        </w:tc>
      </w:tr>
      <w:tr>
        <w:tc>
          <w:tcPr/>
          <w:p>
            <w:pPr>
              <w:pStyle w:val="Compact"/>
              <w:jc w:val="left"/>
            </w:pPr>
            <w:r>
              <w:t xml:space="preserve">ID102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3.125</w:t>
            </w:r>
          </w:p>
        </w:tc>
        <w:tc>
          <w:tcPr/>
          <w:p>
            <w:pPr>
              <w:pStyle w:val="Compact"/>
              <w:jc w:val="left"/>
            </w:pPr>
            <w:r>
              <w:t xml:space="preserve">0.9375</w:t>
            </w:r>
          </w:p>
        </w:tc>
      </w:tr>
      <w:tr>
        <w:tc>
          <w:tcPr/>
          <w:p>
            <w:pPr>
              <w:pStyle w:val="Compact"/>
              <w:jc w:val="left"/>
            </w:pPr>
            <w:r>
              <w:t xml:space="preserve">ID103</w:t>
            </w:r>
          </w:p>
        </w:tc>
        <w:tc>
          <w:tcPr/>
          <w:p>
            <w:pPr>
              <w:pStyle w:val="Compact"/>
              <w:jc w:val="left"/>
            </w:pPr>
            <w:r>
              <w:t xml:space="preserve">Steel Screws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1.36</w:t>
            </w:r>
          </w:p>
        </w:tc>
        <w:tc>
          <w:tcPr/>
          <w:p>
            <w:pPr>
              <w:pStyle w:val="Compact"/>
              <w:jc w:val="left"/>
            </w:pPr>
            <w:r>
              <w:t xml:space="preserve">0.068</w:t>
            </w:r>
          </w:p>
        </w:tc>
      </w:tr>
      <w:tr>
        <w:tc>
          <w:tcPr/>
          <w:p>
            <w:pPr>
              <w:pStyle w:val="Compact"/>
              <w:jc w:val="left"/>
            </w:pPr>
            <w:r>
              <w:t xml:space="preserve">ID104</w:t>
            </w:r>
          </w:p>
        </w:tc>
        <w:tc>
          <w:tcPr/>
          <w:p>
            <w:pPr>
              <w:pStyle w:val="Compact"/>
              <w:jc w:val="left"/>
            </w:pPr>
            <w:r>
              <w:t xml:space="preserve">PCB with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12.0 (Illustrative)</w:t>
            </w:r>
          </w:p>
        </w:tc>
        <w:tc>
          <w:tcPr/>
          <w:p>
            <w:pPr>
              <w:pStyle w:val="Compact"/>
              <w:jc w:val="left"/>
            </w:pPr>
            <w:r>
              <w:t xml:space="preserve">12.00</w:t>
            </w:r>
          </w:p>
        </w:tc>
      </w:tr>
      <w:tr>
        <w:tc>
          <w:tcPr/>
          <w:p>
            <w:pPr>
              <w:pStyle w:val="Compact"/>
              <w:jc w:val="left"/>
            </w:pPr>
            <w:r>
              <w:t xml:space="preserve">ID105</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Cutting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0.4 (Illustrative)</w:t>
            </w:r>
          </w:p>
        </w:tc>
        <w:tc>
          <w:tcPr/>
          <w:p>
            <w:pPr>
              <w:pStyle w:val="Compact"/>
              <w:jc w:val="left"/>
            </w:pPr>
            <w:r>
              <w:t xml:space="preserve">0.08</w:t>
            </w:r>
          </w:p>
        </w:tc>
      </w:tr>
      <w:tr>
        <w:tc>
          <w:tcPr>
            <w:gridSpan w:val="7"/>
          </w:tcPr>
          <w:p>
            <w:pPr>
              <w:pStyle w:val="Compact"/>
              <w:jc w:val="right"/>
            </w:pPr>
            <w:r>
              <w:rPr>
                <w:bCs/>
                <w:b/>
              </w:rPr>
              <w:t xml:space="preserve">Total Material Emissions:</w:t>
            </w:r>
          </w:p>
        </w:tc>
        <w:tc>
          <w:tcPr/>
          <w:p>
            <w:pPr>
              <w:pStyle w:val="Compact"/>
              <w:jc w:val="left"/>
            </w:pPr>
            <w:r>
              <w:rPr>
                <w:bCs/>
                <w:b/>
              </w:rPr>
              <w:t xml:space="preserve">20.4705 kgCO2e</w:t>
            </w:r>
          </w:p>
        </w:tc>
      </w:tr>
    </w:tbl>
    <w:p>
      <w:pPr>
        <w:pStyle w:val="BodyText"/>
      </w:pPr>
      <w:r>
        <w:rPr>
          <w:iCs/>
          <w:i/>
        </w:rPr>
        <w:t xml:space="preserve">Note: The "Emission Factor" and "Total Carbon" values for the illustrative BOM are based on representative figures from industry databases (e.g., Ecoinvent, DEFRA) where available, and assumed values for complex components (e.g., PCB) and packaging.</w:t>
      </w:r>
    </w:p>
    <w:bookmarkEnd w:id="26"/>
    <w:bookmarkStart w:id="27" w:name="production-energy-scope-2"/>
    <w:p>
      <w:pPr>
        <w:pStyle w:val="Heading3"/>
      </w:pPr>
      <w:r>
        <w:t xml:space="preserve">2.2. Production Energy (Scope 2):</w:t>
      </w:r>
    </w:p>
    <w:p>
      <w:pPr>
        <w:pStyle w:val="FirstParagraph"/>
      </w:pPr>
      <w:r>
        <w:t xml:space="preserve">The energy consumption during the production phase is a critical component of the PCF.</w:t>
      </w:r>
    </w:p>
    <w:p>
      <w:pPr>
        <w:numPr>
          <w:ilvl w:val="0"/>
          <w:numId w:val="1003"/>
        </w:numPr>
        <w:pStyle w:val="Compact"/>
      </w:pPr>
      <w:r>
        <w:rPr>
          <w:bCs/>
          <w:b/>
        </w:rPr>
        <w:t xml:space="preserve">Energy Intensity (kWh/unit -</w:t>
      </w:r>
      <w:r>
        <w:rPr>
          <w:bCs/>
          <w:b/>
        </w:rPr>
        <w:t xml:space="preserve"> </w:t>
      </w:r>
      <w:r>
        <w:rPr>
          <w:rStyle w:val="VerbatimChar"/>
          <w:bCs/>
          <w:b/>
        </w:rPr>
        <w:t xml:space="preserve">ofjkhkqlow</w:t>
      </w:r>
      <w:r>
        <w:rPr>
          <w:bCs/>
          <w:b/>
        </w:rPr>
        <w:t xml:space="preserve">):</w:t>
      </w:r>
      <w:r>
        <w:t xml:space="preserve"> </w:t>
      </w:r>
      <w:r>
        <w:t xml:space="preserve">5.0 kWh/unit (Illustrative).</w:t>
      </w:r>
    </w:p>
    <w:p>
      <w:pPr>
        <w:numPr>
          <w:ilvl w:val="0"/>
          <w:numId w:val="1003"/>
        </w:numPr>
        <w:pStyle w:val="Compact"/>
      </w:pPr>
      <w:r>
        <w:rPr>
          <w:bCs/>
          <w:b/>
        </w:rPr>
        <w:t xml:space="preserve">Renewable Energy Usage (</w:t>
      </w:r>
      <w:r>
        <w:rPr>
          <w:rStyle w:val="VerbatimChar"/>
          <w:bCs/>
          <w:b/>
        </w:rPr>
        <w:t xml:space="preserve">vsuzrllmmj</w:t>
      </w:r>
      <w:r>
        <w:rPr>
          <w:bCs/>
          <w:b/>
        </w:rPr>
        <w:t xml:space="preserve">):</w:t>
      </w:r>
      <w:r>
        <w:t xml:space="preserve"> </w:t>
      </w:r>
      <w:r>
        <w:t xml:space="preserve">60% of total electricity consumed.</w:t>
      </w:r>
    </w:p>
    <w:p>
      <w:pPr>
        <w:numPr>
          <w:ilvl w:val="0"/>
          <w:numId w:val="1003"/>
        </w:numPr>
        <w:pStyle w:val="Compact"/>
      </w:pPr>
      <w:r>
        <w:rPr>
          <w:bCs/>
          <w:b/>
        </w:rPr>
        <w:t xml:space="preserve">Non-renewable Electricity:</w:t>
      </w:r>
      <w:r>
        <w:t xml:space="preserve"> </w:t>
      </w:r>
      <w:r>
        <w:t xml:space="preserve">2.0 kWh/unit (5.0 kWh * 40%).</w:t>
      </w:r>
    </w:p>
    <w:p>
      <w:pPr>
        <w:numPr>
          <w:ilvl w:val="0"/>
          <w:numId w:val="1003"/>
        </w:numPr>
        <w:pStyle w:val="Compact"/>
      </w:pPr>
      <w:r>
        <w:rPr>
          <w:bCs/>
          <w:b/>
        </w:rPr>
        <w:t xml:space="preserve">Renewable Electricity:</w:t>
      </w:r>
      <w:r>
        <w:t xml:space="preserve"> </w:t>
      </w:r>
      <w:r>
        <w:t xml:space="preserve">3.0 kWh/unit (5.0 kWh * 60%).</w:t>
      </w:r>
    </w:p>
    <w:p>
      <w:pPr>
        <w:numPr>
          <w:ilvl w:val="0"/>
          <w:numId w:val="1003"/>
        </w:numPr>
        <w:pStyle w:val="Compact"/>
      </w:pPr>
      <w:r>
        <w:rPr>
          <w:bCs/>
          <w:b/>
        </w:rPr>
        <w:t xml:space="preserve">Grid Electricity Emission Factor (China):</w:t>
      </w:r>
      <w:r>
        <w:t xml:space="preserve"> </w:t>
      </w:r>
      <w:r>
        <w:t xml:space="preserve">0.556 kgCO2e/kWh.</w:t>
      </w:r>
    </w:p>
    <w:p>
      <w:pPr>
        <w:numPr>
          <w:ilvl w:val="0"/>
          <w:numId w:val="1003"/>
        </w:numPr>
        <w:pStyle w:val="Compact"/>
      </w:pPr>
      <w:r>
        <w:rPr>
          <w:bCs/>
          <w:b/>
        </w:rPr>
        <w:t xml:space="preserve">Renewable Electricity Emission Factor (Residual):</w:t>
      </w:r>
      <w:r>
        <w:t xml:space="preserve"> </w:t>
      </w:r>
      <w:r>
        <w:t xml:space="preserve">0.01 kgCO2e/kWh (Illustrative, accounting for upstream emissions not zero-rated).</w:t>
      </w:r>
    </w:p>
    <w:p>
      <w:pPr>
        <w:numPr>
          <w:ilvl w:val="0"/>
          <w:numId w:val="1003"/>
        </w:numPr>
        <w:pStyle w:val="Compact"/>
      </w:pPr>
      <w:r>
        <w:rPr>
          <w:bCs/>
          <w:b/>
        </w:rPr>
        <w:t xml:space="preserve">Total Manufacturing Energy Emissions:</w:t>
      </w:r>
      <w:r>
        <w:t xml:space="preserve"> </w:t>
      </w:r>
      <w:r>
        <w:t xml:space="preserve">(2.0 kWh * 0.556 kgCO2e/kWh) + (3.0 kWh * 0.01 kgCO2e/kWh) = 1.112 kgCO2e + 0.03 kgCO2e =</w:t>
      </w:r>
      <w:r>
        <w:t xml:space="preserve"> </w:t>
      </w:r>
      <w:r>
        <w:rPr>
          <w:bCs/>
          <w:b/>
        </w:rPr>
        <w:t xml:space="preserve">1.142 kgCO2e</w:t>
      </w:r>
      <w:r>
        <w:t xml:space="preserve">.</w:t>
      </w:r>
    </w:p>
    <w:bookmarkEnd w:id="27"/>
    <w:bookmarkStart w:id="28" w:name="X981923b8cb60f0edee598a5efe02199461582eb"/>
    <w:p>
      <w:pPr>
        <w:pStyle w:val="Heading3"/>
      </w:pPr>
      <w:r>
        <w:t xml:space="preserve">2.3. Transportation (Scope 3 - Upstream &amp; Downstream):</w:t>
      </w:r>
    </w:p>
    <w:p>
      <w:pPr>
        <w:pStyle w:val="FirstParagraph"/>
      </w:pPr>
      <w:r>
        <w:t xml:space="preserve">Logistics data has been incorporated, assuming typical transportation modes and distances for a product manufactured in China and sold with a focus on Europe.</w:t>
      </w:r>
    </w:p>
    <w:p>
      <w:pPr>
        <w:numPr>
          <w:ilvl w:val="0"/>
          <w:numId w:val="1004"/>
        </w:numPr>
        <w:pStyle w:val="Compact"/>
      </w:pPr>
      <w:r>
        <w:rPr>
          <w:bCs/>
          <w:b/>
        </w:rPr>
        <w:t xml:space="preserve">Main Transport Mode (</w:t>
      </w:r>
      <w:r>
        <w:rPr>
          <w:rStyle w:val="VerbatimChar"/>
          <w:bCs/>
          <w:b/>
        </w:rPr>
        <w:t xml:space="preserve">Select Mode</w:t>
      </w:r>
      <w:r>
        <w:rPr>
          <w:bCs/>
          <w:b/>
        </w:rPr>
        <w:t xml:space="preserve">):</w:t>
      </w:r>
      <w:r>
        <w:t xml:space="preserve"> </w:t>
      </w:r>
      <w:r>
        <w:t xml:space="preserve">Ocean Freight (Container Ship).</w:t>
      </w:r>
    </w:p>
    <w:p>
      <w:pPr>
        <w:numPr>
          <w:ilvl w:val="0"/>
          <w:numId w:val="1004"/>
        </w:numPr>
        <w:pStyle w:val="Compact"/>
      </w:pPr>
      <w:r>
        <w:rPr>
          <w:bCs/>
          <w:b/>
        </w:rPr>
        <w:t xml:space="preserve">Main Transport Distance (</w:t>
      </w:r>
      <w:r>
        <w:rPr>
          <w:rStyle w:val="VerbatimChar"/>
          <w:bCs/>
          <w:b/>
        </w:rPr>
        <w:t xml:space="preserve">wmjvksdrrm</w:t>
      </w:r>
      <w:r>
        <w:rPr>
          <w:bCs/>
          <w:b/>
        </w:rPr>
        <w:t xml:space="preserve">):</w:t>
      </w:r>
      <w:r>
        <w:t xml:space="preserve"> </w:t>
      </w:r>
      <w:r>
        <w:t xml:space="preserve">10,000 km (Illustrative).</w:t>
      </w:r>
    </w:p>
    <w:p>
      <w:pPr>
        <w:numPr>
          <w:ilvl w:val="0"/>
          <w:numId w:val="1004"/>
        </w:numPr>
        <w:pStyle w:val="Compact"/>
      </w:pPr>
      <w:r>
        <w:rPr>
          <w:bCs/>
          <w:b/>
        </w:rPr>
        <w:t xml:space="preserve">Last-Mile Delivery Channel (</w:t>
      </w:r>
      <w:r>
        <w:rPr>
          <w:rStyle w:val="VerbatimChar"/>
          <w:bCs/>
          <w:b/>
        </w:rPr>
        <w:t xml:space="preserve">Delivery Type</w:t>
      </w:r>
      <w:r>
        <w:rPr>
          <w:bCs/>
          <w:b/>
        </w:rPr>
        <w:t xml:space="preserve">):</w:t>
      </w:r>
      <w:r>
        <w:t xml:space="preserve"> </w:t>
      </w:r>
      <w:r>
        <w:t xml:space="preserve">Road Freight (Light Commercial Van).</w:t>
      </w:r>
    </w:p>
    <w:p>
      <w:pPr>
        <w:numPr>
          <w:ilvl w:val="0"/>
          <w:numId w:val="1004"/>
        </w:numPr>
        <w:pStyle w:val="Compact"/>
      </w:pPr>
      <w:r>
        <w:rPr>
          <w:bCs/>
          <w:b/>
        </w:rPr>
        <w:t xml:space="preserve">Last-Mile Delivery Distance (part of</w:t>
      </w:r>
      <w:r>
        <w:rPr>
          <w:bCs/>
          <w:b/>
        </w:rPr>
        <w:t xml:space="preserve"> </w:t>
      </w:r>
      <w:r>
        <w:rPr>
          <w:rStyle w:val="VerbatimChar"/>
          <w:bCs/>
          <w:b/>
        </w:rPr>
        <w:t xml:space="preserve">wmjvksdrrm</w:t>
      </w:r>
      <w:r>
        <w:rPr>
          <w:bCs/>
          <w:b/>
        </w:rPr>
        <w:t xml:space="preserve">):</w:t>
      </w:r>
      <w:r>
        <w:t xml:space="preserve"> </w:t>
      </w:r>
      <w:r>
        <w:t xml:space="preserve">500 km (Illustrative).</w:t>
      </w:r>
    </w:p>
    <w:p>
      <w:pPr>
        <w:numPr>
          <w:ilvl w:val="0"/>
          <w:numId w:val="1004"/>
        </w:numPr>
        <w:pStyle w:val="Compact"/>
      </w:pPr>
      <w:r>
        <w:rPr>
          <w:bCs/>
          <w:b/>
        </w:rPr>
        <w:t xml:space="preserve">Illustrative Product Shipment Weight:</w:t>
      </w:r>
      <w:r>
        <w:t xml:space="preserve"> </w:t>
      </w:r>
      <w:r>
        <w:t xml:space="preserve">0.5 tonnes for Ocean Freight, 0.1 tonnes for Last-Mile Delivery.</w:t>
      </w:r>
    </w:p>
    <w:p>
      <w:pPr>
        <w:numPr>
          <w:ilvl w:val="0"/>
          <w:numId w:val="1004"/>
        </w:numPr>
        <w:pStyle w:val="Compact"/>
      </w:pPr>
      <w:r>
        <w:rPr>
          <w:bCs/>
          <w:b/>
        </w:rPr>
        <w:t xml:space="preserve">Ocean Freight Emission Factor:</w:t>
      </w:r>
      <w:r>
        <w:t xml:space="preserve"> </w:t>
      </w:r>
      <w:r>
        <w:t xml:space="preserve">0.016 kgCO2e/tonne-km.</w:t>
      </w:r>
    </w:p>
    <w:p>
      <w:pPr>
        <w:numPr>
          <w:ilvl w:val="0"/>
          <w:numId w:val="1004"/>
        </w:numPr>
        <w:pStyle w:val="Compact"/>
      </w:pPr>
      <w:r>
        <w:rPr>
          <w:bCs/>
          <w:b/>
        </w:rPr>
        <w:t xml:space="preserve">Road Freight (LCV) Emission Factor:</w:t>
      </w:r>
      <w:r>
        <w:t xml:space="preserve"> </w:t>
      </w:r>
      <w:r>
        <w:t xml:space="preserve">0.15 kgCO2e/tonne-km (Illustrative).</w:t>
      </w:r>
    </w:p>
    <w:p>
      <w:pPr>
        <w:numPr>
          <w:ilvl w:val="0"/>
          <w:numId w:val="1004"/>
        </w:numPr>
        <w:pStyle w:val="Compact"/>
      </w:pPr>
      <w:r>
        <w:rPr>
          <w:bCs/>
          <w:b/>
        </w:rPr>
        <w:t xml:space="preserve">Ocean Freight Emissions:</w:t>
      </w:r>
      <w:r>
        <w:t xml:space="preserve"> </w:t>
      </w:r>
      <w:r>
        <w:t xml:space="preserve">0.5 tonnes * 10,000 km * 0.016 kgCO2e/tonne-km =</w:t>
      </w:r>
      <w:r>
        <w:t xml:space="preserve"> </w:t>
      </w:r>
      <w:r>
        <w:rPr>
          <w:bCs/>
          <w:b/>
        </w:rPr>
        <w:t xml:space="preserve">80.0 kgCO2e</w:t>
      </w:r>
      <w:r>
        <w:t xml:space="preserve">.</w:t>
      </w:r>
    </w:p>
    <w:p>
      <w:pPr>
        <w:numPr>
          <w:ilvl w:val="0"/>
          <w:numId w:val="1004"/>
        </w:numPr>
        <w:pStyle w:val="Compact"/>
      </w:pPr>
      <w:r>
        <w:rPr>
          <w:bCs/>
          <w:b/>
        </w:rPr>
        <w:t xml:space="preserve">Last-Mile Delivery Emissions:</w:t>
      </w:r>
      <w:r>
        <w:t xml:space="preserve"> </w:t>
      </w:r>
      <w:r>
        <w:t xml:space="preserve">0.1 tonnes * 500 km * 0.15 kgCO2e/tonne-km =</w:t>
      </w:r>
      <w:r>
        <w:t xml:space="preserve"> </w:t>
      </w:r>
      <w:r>
        <w:rPr>
          <w:bCs/>
          <w:b/>
        </w:rPr>
        <w:t xml:space="preserve">7.5 kgCO2e</w:t>
      </w:r>
      <w:r>
        <w:t xml:space="preserve">.</w:t>
      </w:r>
    </w:p>
    <w:p>
      <w:pPr>
        <w:numPr>
          <w:ilvl w:val="0"/>
          <w:numId w:val="1004"/>
        </w:numPr>
        <w:pStyle w:val="Compact"/>
      </w:pPr>
      <w:r>
        <w:rPr>
          <w:bCs/>
          <w:b/>
        </w:rPr>
        <w:t xml:space="preserve">Total Upstream and Downstream Transport Emissions:</w:t>
      </w:r>
      <w:r>
        <w:t xml:space="preserve"> </w:t>
      </w:r>
      <w:r>
        <w:t xml:space="preserve">80.0 kgCO2e + 7.5 kgCO2e =</w:t>
      </w:r>
      <w:r>
        <w:t xml:space="preserve"> </w:t>
      </w:r>
      <w:r>
        <w:rPr>
          <w:bCs/>
          <w:b/>
        </w:rPr>
        <w:t xml:space="preserve">87.5 kgCO2e</w:t>
      </w:r>
      <w:r>
        <w:t xml:space="preserve">.</w:t>
      </w:r>
    </w:p>
    <w:bookmarkEnd w:id="28"/>
    <w:bookmarkStart w:id="29" w:name="use-phase-scope-3---downstream"/>
    <w:p>
      <w:pPr>
        <w:pStyle w:val="Heading3"/>
      </w:pPr>
      <w:r>
        <w:t xml:space="preserve">2.4. Use Phase (Scope 3 - Downstream):</w:t>
      </w:r>
    </w:p>
    <w:p>
      <w:pPr>
        <w:pStyle w:val="FirstParagraph"/>
      </w:pPr>
      <w:r>
        <w:t xml:space="preserve">The use phase considers the product\'s lifespan and energy consumption during its operational life.</w:t>
      </w:r>
    </w:p>
    <w:p>
      <w:pPr>
        <w:numPr>
          <w:ilvl w:val="0"/>
          <w:numId w:val="1005"/>
        </w:numPr>
        <w:pStyle w:val="Compact"/>
      </w:pPr>
      <w:r>
        <w:rPr>
          <w:bCs/>
          <w:b/>
        </w:rPr>
        <w:t xml:space="preserve">Product Lifespan (</w:t>
      </w:r>
      <w:r>
        <w:rPr>
          <w:rStyle w:val="VerbatimChar"/>
          <w:bCs/>
          <w:b/>
        </w:rPr>
        <w:t xml:space="preserve">htykzqlwvp</w:t>
      </w:r>
      <w:r>
        <w:rPr>
          <w:bCs/>
          <w:b/>
        </w:rPr>
        <w:t xml:space="preserve">):</w:t>
      </w:r>
      <w:r>
        <w:t xml:space="preserve"> </w:t>
      </w:r>
      <w:r>
        <w:t xml:space="preserve">5 years (Illustrative).</w:t>
      </w:r>
    </w:p>
    <w:p>
      <w:pPr>
        <w:numPr>
          <w:ilvl w:val="0"/>
          <w:numId w:val="1005"/>
        </w:numPr>
        <w:pStyle w:val="Compact"/>
      </w:pPr>
      <w:r>
        <w:rPr>
          <w:bCs/>
          <w:b/>
        </w:rPr>
        <w:t xml:space="preserve">Energy Consumption in Use (</w:t>
      </w:r>
      <w:r>
        <w:rPr>
          <w:rStyle w:val="VerbatimChar"/>
          <w:bCs/>
          <w:b/>
        </w:rPr>
        <w:t xml:space="preserve">lqmiqpqwko</w:t>
      </w:r>
      <w:r>
        <w:rPr>
          <w:bCs/>
          <w:b/>
        </w:rPr>
        <w:t xml:space="preserve">):</w:t>
      </w:r>
      <w:r>
        <w:t xml:space="preserve"> </w:t>
      </w:r>
      <w:r>
        <w:t xml:space="preserve">10 kWh/year (Illustrative).</w:t>
      </w:r>
    </w:p>
    <w:p>
      <w:pPr>
        <w:numPr>
          <w:ilvl w:val="0"/>
          <w:numId w:val="1005"/>
        </w:numPr>
        <w:pStyle w:val="Compact"/>
      </w:pPr>
      <w:r>
        <w:rPr>
          <w:bCs/>
          <w:b/>
        </w:rPr>
        <w:t xml:space="preserve">Assumed Average European Grid Mix Emission Factor:</w:t>
      </w:r>
      <w:r>
        <w:t xml:space="preserve"> </w:t>
      </w:r>
      <w:r>
        <w:t xml:space="preserve">0.25 kgCO2e/kWh (Illustrative).</w:t>
      </w:r>
    </w:p>
    <w:p>
      <w:pPr>
        <w:numPr>
          <w:ilvl w:val="0"/>
          <w:numId w:val="1005"/>
        </w:numPr>
        <w:pStyle w:val="Compact"/>
      </w:pPr>
      <w:r>
        <w:rPr>
          <w:bCs/>
          <w:b/>
        </w:rPr>
        <w:t xml:space="preserve">Annual Use Phase Emissions:</w:t>
      </w:r>
      <w:r>
        <w:t xml:space="preserve"> </w:t>
      </w:r>
      <w:r>
        <w:t xml:space="preserve">10 kWh/year * 0.25 kgCO2e/kWh = 2.5 kgCO2e/year.</w:t>
      </w:r>
    </w:p>
    <w:p>
      <w:pPr>
        <w:numPr>
          <w:ilvl w:val="0"/>
          <w:numId w:val="1005"/>
        </w:numPr>
        <w:pStyle w:val="Compact"/>
      </w:pPr>
      <w:r>
        <w:rPr>
          <w:bCs/>
          <w:b/>
        </w:rPr>
        <w:t xml:space="preserve">Total Use Phase Emissions:</w:t>
      </w:r>
      <w:r>
        <w:t xml:space="preserve"> </w:t>
      </w:r>
      <w:r>
        <w:t xml:space="preserve">2.5 kgCO2e/year * 5 years =</w:t>
      </w:r>
      <w:r>
        <w:t xml:space="preserve"> </w:t>
      </w:r>
      <w:r>
        <w:rPr>
          <w:bCs/>
          <w:b/>
        </w:rPr>
        <w:t xml:space="preserve">12.5 kgCO2e</w:t>
      </w:r>
      <w:r>
        <w:t xml:space="preserve">.</w:t>
      </w:r>
    </w:p>
    <w:bookmarkEnd w:id="29"/>
    <w:bookmarkStart w:id="30" w:name="X2449e76f36fce2c9fec3c701a472f020b80894d"/>
    <w:p>
      <w:pPr>
        <w:pStyle w:val="Heading3"/>
      </w:pPr>
      <w:r>
        <w:t xml:space="preserve">2.5. End-of-Life (EoL) Scenarios (Scope 3 - Downstream):</w:t>
      </w:r>
    </w:p>
    <w:p>
      <w:pPr>
        <w:pStyle w:val="FirstParagraph"/>
      </w:pPr>
      <w:r>
        <w:t xml:space="preserve">EoL scenarios are crucial for reflecting circular economy impacts and are modelled here based on recyclability and take-back programs.</w:t>
      </w:r>
    </w:p>
    <w:p>
      <w:pPr>
        <w:numPr>
          <w:ilvl w:val="0"/>
          <w:numId w:val="1006"/>
        </w:numPr>
        <w:pStyle w:val="Compact"/>
      </w:pPr>
      <w:r>
        <w:rPr>
          <w:bCs/>
          <w:b/>
        </w:rPr>
        <w:t xml:space="preserve">Recyclability Percentage (</w:t>
      </w:r>
      <w:r>
        <w:rPr>
          <w:rStyle w:val="VerbatimChar"/>
          <w:bCs/>
          <w:b/>
        </w:rPr>
        <w:t xml:space="preserve">qpdfnmjeos</w:t>
      </w:r>
      <w:r>
        <w:rPr>
          <w:bCs/>
          <w:b/>
        </w:rPr>
        <w:t xml:space="preserve">):</w:t>
      </w:r>
      <w:r>
        <w:t xml:space="preserve"> </w:t>
      </w:r>
      <w:r>
        <w:t xml:space="preserve">70% (Illustrative).</w:t>
      </w:r>
    </w:p>
    <w:p>
      <w:pPr>
        <w:numPr>
          <w:ilvl w:val="0"/>
          <w:numId w:val="1006"/>
        </w:numPr>
        <w:pStyle w:val="Compact"/>
      </w:pPr>
      <w:r>
        <w:rPr>
          <w:bCs/>
          <w:b/>
        </w:rPr>
        <w:t xml:space="preserve">Circular/Take-back Programs (</w:t>
      </w:r>
      <w:r>
        <w:rPr>
          <w:rStyle w:val="VerbatimChar"/>
          <w:bCs/>
          <w:b/>
        </w:rPr>
        <w:t xml:space="preserve">dkpzjoppqp</w:t>
      </w:r>
      <w:r>
        <w:rPr>
          <w:bCs/>
          <w:b/>
        </w:rPr>
        <w:t xml:space="preserve">):</w:t>
      </w:r>
      <w:r>
        <w:t xml:space="preserve"> </w:t>
      </w:r>
      <w:r>
        <w:t xml:space="preserve">"Established take-back program for key components focusing on material recovery and refurbishment."</w:t>
      </w:r>
    </w:p>
    <w:p>
      <w:pPr>
        <w:numPr>
          <w:ilvl w:val="0"/>
          <w:numId w:val="1006"/>
        </w:numPr>
        <w:pStyle w:val="Compact"/>
      </w:pPr>
      <w:r>
        <w:rPr>
          <w:bCs/>
          <w:b/>
        </w:rPr>
        <w:t xml:space="preserve">Total Illustrative Material Weight for EoL:</w:t>
      </w:r>
      <w:r>
        <w:t xml:space="preserve"> </w:t>
      </w:r>
      <w:r>
        <w:t xml:space="preserve">1.15 kg (sum of illustrative BOM item quantities).</w:t>
      </w:r>
    </w:p>
    <w:p>
      <w:pPr>
        <w:numPr>
          <w:ilvl w:val="0"/>
          <w:numId w:val="1006"/>
        </w:numPr>
        <w:pStyle w:val="Compact"/>
      </w:pPr>
      <w:r>
        <w:rPr>
          <w:bCs/>
          <w:b/>
        </w:rPr>
        <w:t xml:space="preserve">Avoided Emissions from Recycling (Illustrative):</w:t>
      </w:r>
      <w:r>
        <w:t xml:space="preserve"> </w:t>
      </w:r>
      <w:r>
        <w:t xml:space="preserve">Assuming a 50% virgin material avoidance credit for the recycled portion: 20.4705 kgCO2e (Total Material Impact) * 0.70 (Recyclability) * 0.50 (Avoidance Factor) =</w:t>
      </w:r>
      <w:r>
        <w:t xml:space="preserve"> </w:t>
      </w:r>
      <w:r>
        <w:rPr>
          <w:bCs/>
          <w:b/>
        </w:rPr>
        <w:t xml:space="preserve">7.1647 kgCO2e Credit</w:t>
      </w:r>
      <w:r>
        <w:t xml:space="preserve">.</w:t>
      </w:r>
    </w:p>
    <w:p>
      <w:pPr>
        <w:numPr>
          <w:ilvl w:val="0"/>
          <w:numId w:val="1006"/>
        </w:numPr>
        <w:pStyle w:val="Compact"/>
      </w:pPr>
      <w:r>
        <w:rPr>
          <w:bCs/>
          <w:b/>
        </w:rPr>
        <w:t xml:space="preserve">Disposal Emissions (for 30% non-recycled material - Illustrative):</w:t>
      </w:r>
      <w:r>
        <w:t xml:space="preserve"> </w:t>
      </w:r>
      <w:r>
        <w:t xml:space="preserve">1.15 kg * 0.30 = 0.345 kg disposed. Assuming 0.1 kgCO2e/kg for landfill/incineration = 0.345 kg * 0.1 kgCO2e/kg =</w:t>
      </w:r>
      <w:r>
        <w:t xml:space="preserve"> </w:t>
      </w:r>
      <w:r>
        <w:rPr>
          <w:bCs/>
          <w:b/>
        </w:rPr>
        <w:t xml:space="preserve">0.0345 kgCO2e</w:t>
      </w:r>
      <w:r>
        <w:t xml:space="preserve">.</w:t>
      </w:r>
    </w:p>
    <w:p>
      <w:pPr>
        <w:numPr>
          <w:ilvl w:val="0"/>
          <w:numId w:val="1006"/>
        </w:numPr>
        <w:pStyle w:val="Compact"/>
      </w:pPr>
      <w:r>
        <w:rPr>
          <w:bCs/>
          <w:b/>
        </w:rPr>
        <w:t xml:space="preserve">Net End-of-Life Emissions:</w:t>
      </w:r>
      <w:r>
        <w:t xml:space="preserve"> </w:t>
      </w:r>
      <w:r>
        <w:t xml:space="preserve">0.0345 kgCO2e - 7.1647 kgCO2e =</w:t>
      </w:r>
      <w:r>
        <w:t xml:space="preserve"> </w:t>
      </w:r>
      <w:r>
        <w:rPr>
          <w:bCs/>
          <w:b/>
        </w:rPr>
        <w:t xml:space="preserve">-7.1302 kgCO2e</w:t>
      </w:r>
      <w:r>
        <w:t xml:space="preserve"> </w:t>
      </w:r>
      <w:r>
        <w:t xml:space="preserve">(Net Credit).</w:t>
      </w:r>
    </w:p>
    <w:p>
      <w:r>
        <w:pict>
          <v:rect style="width:0;height:1.5pt" o:hralign="center" o:hrstd="t" o:hr="t"/>
        </w:pict>
      </w:r>
    </w:p>
    <w:bookmarkEnd w:id="30"/>
    <w:bookmarkEnd w:id="31"/>
    <w:bookmarkStart w:id="34" w:name="emissions-calculation-and-categorization"/>
    <w:p>
      <w:pPr>
        <w:pStyle w:val="Heading2"/>
      </w:pPr>
      <w:r>
        <w:t xml:space="preserve">3. Emissions Calculation and Categorization</w:t>
      </w:r>
    </w:p>
    <w:p>
      <w:pPr>
        <w:pStyle w:val="FirstParagraph"/>
      </w:pPr>
      <w:r>
        <w:t xml:space="preserve">All calculated emissions are categorized according to the GHG Protocol\'s Scope 1, 2, and 3 definitions.</w:t>
      </w:r>
      <w:r>
        <w:t xml:space="preserve"> </w:t>
      </w:r>
      <w:r>
        <w:t xml:space="preserve">Industry-standard emission factors (or illustrative equivalents where exact data was placeholder) are used.</w:t>
      </w:r>
      <w:r>
        <w:t xml:space="preserve"> </w:t>
      </w:r>
      <w:r>
        <w:t xml:space="preserve">The 2026 Land Sector and Removals (LSR) Standard is acknowledged, and while specific land use data was not provided,</w:t>
      </w:r>
      <w:r>
        <w:t xml:space="preserve"> </w:t>
      </w:r>
      <w:r>
        <w:t xml:space="preserve">the EoL section implicitly accounts for some aspects of removals through recycling credits.</w:t>
      </w:r>
      <w:r>
        <w:t xml:space="preserve"> </w:t>
      </w:r>
      <w:r>
        <w:t xml:space="preserve">A strong emphasis is placed on ensuring comprehensive Scope 3 coverage.</w:t>
      </w:r>
    </w:p>
    <w:bookmarkStart w:id="32" w:name="ghg-protocol-scope-breakdown"/>
    <w:p>
      <w:pPr>
        <w:pStyle w:val="Heading3"/>
      </w:pPr>
      <w:r>
        <w:t xml:space="preserve">3.1. GHG Protocol Scope Breakdown:</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(kgCO2e/unit)</w:t>
            </w:r>
          </w:p>
        </w:tc>
        <w:tc>
          <w:tcPr/>
          <w:p>
            <w:pPr>
              <w:pStyle w:val="Compact"/>
              <w:jc w:val="left"/>
            </w:pPr>
            <w:r>
              <w:t xml:space="preserve">Notes</w:t>
            </w:r>
          </w:p>
        </w:tc>
      </w:tr>
      <w:tr>
        <w:tc>
          <w:tcPr/>
          <w:p>
            <w:pPr>
              <w:pStyle w:val="Compact"/>
              <w:jc w:val="left"/>
            </w:pPr>
            <w:r>
              <w:rPr>
                <w:bCs/>
                <w:b/>
              </w:rPr>
              <w:t xml:space="preserve">Scope 1</w:t>
            </w:r>
          </w:p>
        </w:tc>
        <w:tc>
          <w:tcPr/>
          <w:p>
            <w:pPr>
              <w:pStyle w:val="Compact"/>
              <w:jc w:val="left"/>
            </w:pPr>
            <w:r>
              <w:t xml:space="preserve">Direct Emissions</w:t>
            </w:r>
          </w:p>
        </w:tc>
        <w:tc>
          <w:tcPr/>
          <w:p>
            <w:pPr>
              <w:pStyle w:val="Compact"/>
              <w:jc w:val="left"/>
            </w:pPr>
            <w:r>
              <w:t xml:space="preserve">0.00</w:t>
            </w:r>
          </w:p>
        </w:tc>
        <w:tc>
          <w:tcPr/>
          <w:p>
            <w:pPr>
              <w:pStyle w:val="Compact"/>
              <w:jc w:val="left"/>
            </w:pPr>
            <w:r>
              <w:t xml:space="preserve">No direct combustion by dudepsjzix for hnusstqnuu production (Illustrative assumption).</w:t>
            </w:r>
          </w:p>
        </w:tc>
      </w:tr>
      <w:tr>
        <w:tc>
          <w:tcPr/>
          <w:p>
            <w:pPr>
              <w:pStyle w:val="Compact"/>
              <w:jc w:val="left"/>
            </w:pPr>
            <w:r>
              <w:rPr>
                <w:bCs/>
                <w:b/>
              </w:rPr>
              <w:t xml:space="preserve">Scope 2</w:t>
            </w:r>
          </w:p>
        </w:tc>
        <w:tc>
          <w:tcPr/>
          <w:p>
            <w:pPr>
              <w:pStyle w:val="Compact"/>
              <w:jc w:val="left"/>
            </w:pPr>
            <w:r>
              <w:t xml:space="preserve">Purchased Electricity (Manufacturing)</w:t>
            </w:r>
          </w:p>
        </w:tc>
        <w:tc>
          <w:tcPr/>
          <w:p>
            <w:pPr>
              <w:pStyle w:val="Compact"/>
              <w:jc w:val="left"/>
            </w:pPr>
            <w:r>
              <w:t xml:space="preserve">1.142</w:t>
            </w:r>
          </w:p>
        </w:tc>
        <w:tc>
          <w:tcPr/>
          <w:p>
            <w:pPr>
              <w:pStyle w:val="Compact"/>
              <w:jc w:val="left"/>
            </w:pPr>
            <w:r>
              <w:t xml:space="preserve">Emissions from non-renewable and residual renewable grid electricity.</w:t>
            </w:r>
          </w:p>
        </w:tc>
      </w:tr>
      <w:tr>
        <w:tc>
          <w:tcPr/>
          <w:p>
            <w:pPr>
              <w:pStyle w:val="Compact"/>
              <w:jc w:val="left"/>
            </w:pPr>
            <w:r>
              <w:rPr>
                <w:bCs/>
                <w:b/>
              </w:rPr>
              <w:t xml:space="preserve">Scope 3 (Upstream)</w:t>
            </w:r>
          </w:p>
        </w:tc>
        <w:tc>
          <w:tcPr/>
          <w:p>
            <w:pPr>
              <w:pStyle w:val="Compact"/>
              <w:jc w:val="left"/>
            </w:pPr>
            <w:r>
              <w:t xml:space="preserve">Material Acquisition (Cradle-to-Gate)</w:t>
            </w:r>
          </w:p>
        </w:tc>
        <w:tc>
          <w:tcPr/>
          <w:p>
            <w:pPr>
              <w:pStyle w:val="Compact"/>
              <w:jc w:val="left"/>
            </w:pPr>
            <w:r>
              <w:t xml:space="preserve">20.4705</w:t>
            </w:r>
          </w:p>
        </w:tc>
        <w:tc>
          <w:tcPr/>
          <w:p>
            <w:pPr>
              <w:pStyle w:val="Compact"/>
              <w:jc w:val="left"/>
            </w:pPr>
            <w:r>
              <w:t xml:space="preserve">Emissions from raw material extraction, processing, and manufacturing.</w:t>
            </w:r>
          </w:p>
        </w:tc>
      </w:tr>
      <w:tr>
        <w:tc>
          <w:tcPr/>
          <w:p>
            <w:pPr>
              <w:pStyle w:val="Compact"/>
              <w:jc w:val="left"/>
            </w:pPr>
            <w:r>
              <w:rPr>
                <w:bCs/>
                <w:b/>
              </w:rPr>
              <w:t xml:space="preserve">Scope 3 (Upstream)</w:t>
            </w:r>
          </w:p>
        </w:tc>
        <w:tc>
          <w:tcPr/>
          <w:p>
            <w:pPr>
              <w:pStyle w:val="Compact"/>
              <w:jc w:val="left"/>
            </w:pPr>
            <w:r>
              <w:t xml:space="preserve">Upstream Transportation</w:t>
            </w:r>
          </w:p>
        </w:tc>
        <w:tc>
          <w:tcPr/>
          <w:p>
            <w:pPr>
              <w:pStyle w:val="Compact"/>
              <w:jc w:val="left"/>
            </w:pPr>
            <w:r>
              <w:t xml:space="preserve">87.5</w:t>
            </w:r>
          </w:p>
        </w:tc>
        <w:tc>
          <w:tcPr/>
          <w:p>
            <w:pPr>
              <w:pStyle w:val="Compact"/>
              <w:jc w:val="left"/>
            </w:pPr>
            <w:r>
              <w:t xml:space="preserve">Emissions from main freight and last-mile delivery to retail/customer.</w:t>
            </w:r>
          </w:p>
        </w:tc>
      </w:tr>
      <w:tr>
        <w:tc>
          <w:tcPr/>
          <w:p>
            <w:pPr>
              <w:pStyle w:val="Compact"/>
              <w:jc w:val="left"/>
            </w:pPr>
            <w:r>
              <w:rPr>
                <w:bCs/>
                <w:b/>
              </w:rPr>
              <w:t xml:space="preserve">Scope 3 (Downstream)</w:t>
            </w:r>
          </w:p>
        </w:tc>
        <w:tc>
          <w:tcPr/>
          <w:p>
            <w:pPr>
              <w:pStyle w:val="Compact"/>
              <w:jc w:val="left"/>
            </w:pPr>
            <w:r>
              <w:t xml:space="preserve">Use Phase</w:t>
            </w:r>
          </w:p>
        </w:tc>
        <w:tc>
          <w:tcPr/>
          <w:p>
            <w:pPr>
              <w:pStyle w:val="Compact"/>
              <w:jc w:val="left"/>
            </w:pPr>
            <w:r>
              <w:t xml:space="preserve">12.5</w:t>
            </w:r>
          </w:p>
        </w:tc>
        <w:tc>
          <w:tcPr/>
          <w:p>
            <w:pPr>
              <w:pStyle w:val="Compact"/>
              <w:jc w:val="left"/>
            </w:pPr>
            <w:r>
              <w:t xml:space="preserve">Emissions from product energy consumption during its lifespan.</w:t>
            </w:r>
          </w:p>
        </w:tc>
      </w:tr>
      <w:tr>
        <w:tc>
          <w:tcPr/>
          <w:p>
            <w:pPr>
              <w:pStyle w:val="Compact"/>
              <w:jc w:val="left"/>
            </w:pPr>
            <w:r>
              <w:rPr>
                <w:bCs/>
                <w:b/>
              </w:rPr>
              <w:t xml:space="preserve">Scope 3 (Downstream)</w:t>
            </w:r>
          </w:p>
        </w:tc>
        <w:tc>
          <w:tcPr/>
          <w:p>
            <w:pPr>
              <w:pStyle w:val="Compact"/>
              <w:jc w:val="left"/>
            </w:pPr>
            <w:r>
              <w:t xml:space="preserve">End-of-Life Treatment</w:t>
            </w:r>
          </w:p>
        </w:tc>
        <w:tc>
          <w:tcPr/>
          <w:p>
            <w:pPr>
              <w:pStyle w:val="Compact"/>
              <w:jc w:val="left"/>
            </w:pPr>
            <w:r>
              <w:t xml:space="preserve">-7.1302</w:t>
            </w:r>
          </w:p>
        </w:tc>
        <w:tc>
          <w:tcPr/>
          <w:p>
            <w:pPr>
              <w:pStyle w:val="Compact"/>
              <w:jc w:val="left"/>
            </w:pPr>
            <w:r>
              <w:t xml:space="preserve">Net emissions/credits from recycling and disposal. Incorporates aspects of LSR by valuing material recovery.</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114.4823 kgCO2e</w:t>
            </w:r>
          </w:p>
        </w:tc>
        <w:tc>
          <w:tcPr/>
          <w:p>
            <w:pPr>
              <w:pStyle w:val="Compact"/>
            </w:pPr>
          </w:p>
        </w:tc>
      </w:tr>
    </w:tbl>
    <w:p>
      <w:pPr>
        <w:pStyle w:val="BodyText"/>
      </w:pPr>
      <w:r>
        <w:rPr>
          <w:bCs/>
          <w:b/>
        </w:rPr>
        <w:t xml:space="preserve">Scope 3 Coverage:</w:t>
      </w:r>
      <w:r>
        <w:t xml:space="preserve"> </w:t>
      </w:r>
      <w:r>
        <w:t xml:space="preserve">Based on the illustrative calculations, Scope 3 emissions (Upstream Materials, Upstream Transport, Use Phase, and EoL) account for approximately 113.34 kgCO2e out of 114.48 kgCO2e total, representing over 99% coverage, which exceeds the 2026 requirement of 95%.</w:t>
      </w:r>
    </w:p>
    <w:bookmarkEnd w:id="32"/>
    <w:bookmarkStart w:id="33" w:name="X5a4f551c90074bc557f30e0af419a5f70a48401"/>
    <w:p>
      <w:pPr>
        <w:pStyle w:val="Heading3"/>
      </w:pPr>
      <w:r>
        <w:t xml:space="preserve">3.2. 2026 Land Sector and Removals (LSR) Standard Application:</w:t>
      </w:r>
    </w:p>
    <w:p>
      <w:pPr>
        <w:pStyle w:val="FirstParagraph"/>
      </w:pPr>
      <w:r>
        <w:t xml:space="preserve">In accordance with the 2026 LSR Standard, this analysis acknowledges the importance of accounting for land use and carbon removals. While specific land-use change data for the raw materials or manufacturing sites were not provided, the methodology allows for the integration of such data. The positive credit generated in the End-of-Life phase due to recycling serves as a form of "avoided emissions" which can be aligned with the spirit of carbon removals by extending the lifecycle of materials and reducing demand for virgin resources, which may have land-use impacts. A full LSR assessment would require granular data on land-use change emissions and sequestration potentials associated with specific supply chain activities.</w:t>
      </w:r>
    </w:p>
    <w:p>
      <w:r>
        <w:pict>
          <v:rect style="width:0;height:1.5pt" o:hralign="center" o:hrstd="t" o:hr="t"/>
        </w:pict>
      </w:r>
    </w:p>
    <w:bookmarkEnd w:id="33"/>
    <w:bookmarkEnd w:id="34"/>
    <w:bookmarkStart w:id="38" w:name="review-and-reporting"/>
    <w:p>
      <w:pPr>
        <w:pStyle w:val="Heading2"/>
      </w:pPr>
      <w:r>
        <w:t xml:space="preserve">4. Review and Reporting</w:t>
      </w:r>
    </w:p>
    <w:bookmarkStart w:id="35" w:name="key-hotspots"/>
    <w:p>
      <w:pPr>
        <w:pStyle w:val="Heading3"/>
      </w:pPr>
      <w:r>
        <w:t xml:space="preserve">4.1. Key Hotspots:</w:t>
      </w:r>
    </w:p>
    <w:p>
      <w:pPr>
        <w:pStyle w:val="FirstParagraph"/>
      </w:pPr>
      <w:r>
        <w:t xml:space="preserve">The analysis identifies the following key emission hotspots for hnusstqnuu based on the illustrative data:</w:t>
      </w:r>
    </w:p>
    <w:p>
      <w:pPr>
        <w:numPr>
          <w:ilvl w:val="0"/>
          <w:numId w:val="1007"/>
        </w:numPr>
        <w:pStyle w:val="Compact"/>
      </w:pPr>
      <w:r>
        <w:rPr>
          <w:bCs/>
          <w:b/>
        </w:rPr>
        <w:t xml:space="preserve">Upstream Transportation:</w:t>
      </w:r>
      <w:r>
        <w:t xml:space="preserve"> </w:t>
      </w:r>
      <w:r>
        <w:t xml:space="preserve">Constituting the largest share (approx. 76% of total PCF), primarily due to long-distance ocean freight from China to Europe.</w:t>
      </w:r>
    </w:p>
    <w:p>
      <w:pPr>
        <w:numPr>
          <w:ilvl w:val="0"/>
          <w:numId w:val="1007"/>
        </w:numPr>
        <w:pStyle w:val="Compact"/>
      </w:pPr>
      <w:r>
        <w:rPr>
          <w:bCs/>
          <w:b/>
        </w:rPr>
        <w:t xml:space="preserve">Material Acquisition:</w:t>
      </w:r>
      <w:r>
        <w:t xml:space="preserve"> </w:t>
      </w:r>
      <w:r>
        <w:t xml:space="preserve">Specifically, the production of Aluminum Casing and PCB with Components are significant contributors within the materials category.</w:t>
      </w:r>
    </w:p>
    <w:p>
      <w:pPr>
        <w:numPr>
          <w:ilvl w:val="0"/>
          <w:numId w:val="1007"/>
        </w:numPr>
        <w:pStyle w:val="Compact"/>
      </w:pPr>
      <w:r>
        <w:rPr>
          <w:bCs/>
          <w:b/>
        </w:rPr>
        <w:t xml:space="preserve">Use Phase:</w:t>
      </w:r>
      <w:r>
        <w:t xml:space="preserve"> </w:t>
      </w:r>
      <w:r>
        <w:t xml:space="preserve">While less than upstream transport, the energy consumption during the product\'s lifespan also contributes notably to the overall footprint.</w:t>
      </w:r>
    </w:p>
    <w:bookmarkEnd w:id="35"/>
    <w:bookmarkStart w:id="36" w:name="reliability-and-data-gaps"/>
    <w:p>
      <w:pPr>
        <w:pStyle w:val="Heading3"/>
      </w:pPr>
      <w:r>
        <w:t xml:space="preserve">4.2. Reliability and Data Gaps:</w:t>
      </w:r>
    </w:p>
    <w:p>
      <w:pPr>
        <w:pStyle w:val="FirstParagraph"/>
      </w:pPr>
      <w:r>
        <w:t xml:space="preserve">The reliability of this PCF analysis is contingent on the accuracy and completeness of the underlying data.</w:t>
      </w:r>
      <w:r>
        <w:t xml:space="preserve"> </w:t>
      </w:r>
      <w:r>
        <w:t xml:space="preserve">As noted, several input parameters were provided as placeholders (e.g.,</w:t>
      </w:r>
      <w:r>
        <w:t xml:space="preserve"> </w:t>
      </w:r>
      <w:r>
        <w:rPr>
          <w:rStyle w:val="VerbatimChar"/>
        </w:rPr>
        <w:t xml:space="preserve">psdrjrse</w:t>
      </w:r>
      <w:r>
        <w:t xml:space="preserve">,</w:t>
      </w:r>
      <w:r>
        <w:t xml:space="preserve"> </w:t>
      </w:r>
      <w:r>
        <w:rPr>
          <w:rStyle w:val="VerbatimChar"/>
        </w:rPr>
        <w:t xml:space="preserve">wmjvksdrrm</w:t>
      </w:r>
      <w:r>
        <w:t xml:space="preserve">,</w:t>
      </w:r>
      <w:r>
        <w:t xml:space="preserve"> </w:t>
      </w:r>
      <w:r>
        <w:rPr>
          <w:rStyle w:val="VerbatimChar"/>
        </w:rPr>
        <w:t xml:space="preserve">vsuzrllmmj</w:t>
      </w:r>
      <w:r>
        <w:t xml:space="preserve">,</w:t>
      </w:r>
      <w:r>
        <w:t xml:space="preserve"> </w:t>
      </w:r>
      <w:r>
        <w:rPr>
          <w:rStyle w:val="VerbatimChar"/>
        </w:rPr>
        <w:t xml:space="preserve">ofjkhkqlow</w:t>
      </w:r>
      <w:r>
        <w:t xml:space="preserve">,</w:t>
      </w:r>
      <w:r>
        <w:t xml:space="preserve"> </w:t>
      </w:r>
      <w:r>
        <w:rPr>
          <w:rStyle w:val="VerbatimChar"/>
        </w:rPr>
        <w:t xml:space="preserve">htykzqlwvp</w:t>
      </w:r>
      <w:r>
        <w:t xml:space="preserve">,</w:t>
      </w:r>
      <w:r>
        <w:t xml:space="preserve"> </w:t>
      </w:r>
      <w:r>
        <w:rPr>
          <w:rStyle w:val="VerbatimChar"/>
        </w:rPr>
        <w:t xml:space="preserve">lqmiqpqwko</w:t>
      </w:r>
      <w:r>
        <w:t xml:space="preserve">,</w:t>
      </w:r>
      <w:r>
        <w:t xml:space="preserve"> </w:t>
      </w:r>
      <w:r>
        <w:rPr>
          <w:rStyle w:val="VerbatimChar"/>
        </w:rPr>
        <w:t xml:space="preserve">qpdfnmjeos</w:t>
      </w:r>
      <w:r>
        <w:t xml:space="preserve">,</w:t>
      </w:r>
      <w:r>
        <w:t xml:space="preserve"> </w:t>
      </w:r>
      <w:r>
        <w:rPr>
          <w:rStyle w:val="VerbatimChar"/>
        </w:rPr>
        <w:t xml:space="preserve">dkpzjoppqp</w:t>
      </w:r>
      <w:r>
        <w:t xml:space="preserve">).</w:t>
      </w:r>
      <w:r>
        <w:t xml:space="preserve"> </w:t>
      </w:r>
      <w:r>
        <w:t xml:space="preserve">The calculations are therefore based on illustrative, representative data and emission factors derived from publicly</w:t>
      </w:r>
      <w:r>
        <w:t xml:space="preserve"> </w:t>
      </w:r>
      <w:r>
        <w:t xml:space="preserve">available sources (e.g., Climatiq, Climate TRACE, OpenCO2.net), or expert assumptions where specific data was absent.</w:t>
      </w:r>
      <w:r>
        <w:t xml:space="preserve"> </w:t>
      </w:r>
      <w:r>
        <w:t xml:space="preserve">For a precise and auditable PCF, primary data from suppliers, manufacturing facilities, and logistics providers</w:t>
      </w:r>
      <w:r>
        <w:t xml:space="preserve"> </w:t>
      </w:r>
      <w:r>
        <w:t xml:space="preserve">would be essential, along with detailed, region-specific emission factors from databases like Ecoinvent or DEFRA.</w:t>
      </w:r>
    </w:p>
    <w:bookmarkEnd w:id="36"/>
    <w:bookmarkStart w:id="37" w:name="recommendations-for-emission-reduction"/>
    <w:p>
      <w:pPr>
        <w:pStyle w:val="Heading3"/>
      </w:pPr>
      <w:r>
        <w:t xml:space="preserve">4.3. Recommendations for Emission Reduction:</w:t>
      </w:r>
    </w:p>
    <w:p>
      <w:pPr>
        <w:numPr>
          <w:ilvl w:val="0"/>
          <w:numId w:val="1008"/>
        </w:numPr>
        <w:pStyle w:val="Compact"/>
      </w:pPr>
      <w:r>
        <w:rPr>
          <w:bCs/>
          <w:b/>
        </w:rPr>
        <w:t xml:space="preserve">Optimize Logistics:</w:t>
      </w:r>
      <w:r>
        <w:t xml:space="preserve"> </w:t>
      </w:r>
      <w:r>
        <w:t xml:space="preserve">Investigate opportunities for shorter transport routes, higher load factors, and a shift to lower-emission transport modes (e.g., rail over road where feasible) for both inbound materials and outbound finished products.</w:t>
      </w:r>
    </w:p>
    <w:p>
      <w:pPr>
        <w:numPr>
          <w:ilvl w:val="0"/>
          <w:numId w:val="1008"/>
        </w:numPr>
        <w:pStyle w:val="Compact"/>
      </w:pPr>
      <w:r>
        <w:rPr>
          <w:bCs/>
          <w:b/>
        </w:rPr>
        <w:t xml:space="preserve">Material Decarbonization:</w:t>
      </w:r>
      <w:r>
        <w:t xml:space="preserve"> </w:t>
      </w:r>
      <w:r>
        <w:t xml:space="preserve">Engage with suppliers to source lower-carbon aluminum (e.g., from renewable energy-powered smelters, or with higher recycled content), and explore alternative materials for components like ABS plastic and PCBs with lower embodied carbon.</w:t>
      </w:r>
    </w:p>
    <w:p>
      <w:pPr>
        <w:numPr>
          <w:ilvl w:val="0"/>
          <w:numId w:val="1008"/>
        </w:numPr>
        <w:pStyle w:val="Compact"/>
      </w:pPr>
      <w:r>
        <w:rPr>
          <w:bCs/>
          <w:b/>
        </w:rPr>
        <w:t xml:space="preserve">Enhance Circularity:</w:t>
      </w:r>
      <w:r>
        <w:t xml:space="preserve"> </w:t>
      </w:r>
      <w:r>
        <w:t xml:space="preserve">Further develop and promote the established take-back programs (</w:t>
      </w:r>
      <w:r>
        <w:rPr>
          <w:rStyle w:val="VerbatimChar"/>
        </w:rPr>
        <w:t xml:space="preserve">dkpzjoppqp</w:t>
      </w:r>
      <w:r>
        <w:t xml:space="preserve">) to maximize material recovery and reuse, potentially including component refurbishment to extend product lifespans beyond initial estimates.</w:t>
      </w:r>
    </w:p>
    <w:p>
      <w:pPr>
        <w:numPr>
          <w:ilvl w:val="0"/>
          <w:numId w:val="1008"/>
        </w:numPr>
        <w:pStyle w:val="Compact"/>
      </w:pPr>
      <w:r>
        <w:rPr>
          <w:bCs/>
          <w:b/>
        </w:rPr>
        <w:t xml:space="preserve">Renewable Energy Adoption:</w:t>
      </w:r>
      <w:r>
        <w:t xml:space="preserve"> </w:t>
      </w:r>
      <w:r>
        <w:t xml:space="preserve">Increase the percentage of renewable energy usage (</w:t>
      </w:r>
      <w:r>
        <w:rPr>
          <w:rStyle w:val="VerbatimChar"/>
        </w:rPr>
        <w:t xml:space="preserve">vsuzrllmmj</w:t>
      </w:r>
      <w:r>
        <w:t xml:space="preserve">) at manufacturing facilities beyond the current illustrative 60% to significantly reduce Scope 2 emissions.</w:t>
      </w:r>
    </w:p>
    <w:p>
      <w:pPr>
        <w:numPr>
          <w:ilvl w:val="0"/>
          <w:numId w:val="1008"/>
        </w:numPr>
        <w:pStyle w:val="Compact"/>
      </w:pPr>
      <w:r>
        <w:rPr>
          <w:bCs/>
          <w:b/>
        </w:rPr>
        <w:t xml:space="preserve">Product Design for Efficiency:</w:t>
      </w:r>
      <w:r>
        <w:t xml:space="preserve"> </w:t>
      </w:r>
      <w:r>
        <w:t xml:space="preserve">Explore design improvements to reduce energy consumption during the use phase (</w:t>
      </w:r>
      <w:r>
        <w:rPr>
          <w:rStyle w:val="VerbatimChar"/>
        </w:rPr>
        <w:t xml:space="preserve">lqmiqpqwko</w:t>
      </w:r>
      <w:r>
        <w:t xml:space="preserve">) and enhance durability to extend the product lifespan (</w:t>
      </w:r>
      <w:r>
        <w:rPr>
          <w:rStyle w:val="VerbatimChar"/>
        </w:rPr>
        <w:t xml:space="preserve">htykzqlwvp</w:t>
      </w:r>
      <w:r>
        <w:t xml:space="preserve">).</w:t>
      </w:r>
    </w:p>
    <w:p>
      <w:r>
        <w:pict>
          <v:rect style="width:0;height:1.5pt" o:hralign="center" o:hrstd="t" o:hr="t"/>
        </w:pict>
      </w:r>
    </w:p>
    <w:p>
      <w:pPr>
        <w:pStyle w:val="FirstParagraph"/>
      </w:pPr>
      <w:r>
        <w:t xml:space="preserve">Confidential - Internal Use Only.</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hnusstqnuu</dc:title>
  <dc:creator/>
  <dc:description>Detailed Product Carbon Footprint (PCF) analysis report for hnusstqnuu by Senior Sustainability Consultant emiltpijjg, adhering to GHG Protocol standards and 2026 LSR Update.</dc:description>
  <dc:language>en</dc:language>
  <cp:keywords/>
  <dcterms:created xsi:type="dcterms:W3CDTF">2026-07-15T07:07:23Z</dcterms:created>
  <dcterms:modified xsi:type="dcterms:W3CDTF">2026-07-15T07:07:23Z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