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hnrmjpoirw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hnrmjpoirw</w:t>
      </w:r>
    </w:p>
    <w:p>
      <w:pPr>
        <w:pStyle w:val="BodyText"/>
      </w:pPr>
      <w:r>
        <w:rPr>
          <w:bCs/>
          <w:b/>
        </w:rPr>
        <w:t xml:space="preserve">Company:</w:t>
      </w:r>
      <w:r>
        <w:t xml:space="preserve"> </w:t>
      </w:r>
      <w:r>
        <w:t xml:space="preserve">ksrljqosno</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nyhgvpsrqr</w:t>
      </w:r>
    </w:p>
    <w:p>
      <w:pPr>
        <w:pStyle w:val="BodyText"/>
      </w:pPr>
      <w:r>
        <w:t xml:space="preserve">Senior Sustainability Consultant</w:t>
      </w:r>
    </w:p>
    <w:p>
      <w:pPr>
        <w:pStyle w:val="BodyText"/>
      </w:pPr>
      <w:r>
        <w:rPr>
          <w:iCs/>
          <w:i/>
        </w:rPr>
        <w:t xml:space="preserve">Disclaimer: This report is generated based on available data and industry standards, providing an estimate of the product\'s carbon footprint. Actual emissions may vary.</w:t>
      </w:r>
    </w:p>
    <w:bookmarkEnd w:id="20"/>
    <w:p>
      <w:pPr>
        <w:pStyle w:val="BodyText"/>
      </w:pPr>
      <w:r>
        <w:t xml:space="preserve">Generated Date: May 25, 2026</w:t>
      </w:r>
    </w:p>
    <w:bookmarkStart w:id="53" w:name="Xf8863ac000cc76aa2d10800242cf6cd4477f3bd"/>
    <w:p>
      <w:pPr>
        <w:pStyle w:val="Heading1"/>
      </w:pPr>
      <w:r>
        <w:t xml:space="preserve">Product Carbon Footprint (PCF) Analysis for hnrmjpoirw</w:t>
      </w:r>
    </w:p>
    <w:p>
      <w:pPr>
        <w:pStyle w:val="FirstParagraph"/>
      </w:pPr>
      <w:r>
        <w:t xml:space="preserve">This report presents a high-detail Product Carbon Footprint (PCF) analysis for the product</w:t>
      </w:r>
      <w:r>
        <w:t xml:space="preserve"> </w:t>
      </w:r>
      <w:r>
        <w:rPr>
          <w:bCs/>
          <w:b/>
        </w:rPr>
        <w:t xml:space="preserve">hnrmjpoirw</w:t>
      </w:r>
      <w:r>
        <w:t xml:space="preserve">, conducted by</w:t>
      </w:r>
      <w:r>
        <w:t xml:space="preserve"> </w:t>
      </w:r>
      <w:r>
        <w:rPr>
          <w:bCs/>
          <w:b/>
        </w:rPr>
        <w:t xml:space="preserve">nyhgvpsrqr</w:t>
      </w:r>
      <w:r>
        <w:t xml:space="preserve">, Senior Sustainability Consultant at</w:t>
      </w:r>
      <w:r>
        <w:t xml:space="preserve"> </w:t>
      </w:r>
      <w:r>
        <w:rPr>
          <w:bCs/>
          <w:b/>
        </w:rPr>
        <w:t xml:space="preserve">ksrljqosno</w:t>
      </w:r>
      <w:r>
        <w:t xml:space="preserve">. The analysis adheres to the Greenhouse Gas (GHG) Protocol, incorporating the 2026 Land Sector and Removals (LSR) Standard and aiming for at least 95% coverage for Scope 3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evaluates the cradle-to-gate (factory-gate) environmental impact of</w:t>
      </w:r>
      <w:r>
        <w:t xml:space="preserve"> </w:t>
      </w:r>
      <w:r>
        <w:rPr>
          <w:bCs/>
          <w:b/>
        </w:rPr>
        <w:t xml:space="preserve">hnrmjpoirw</w:t>
      </w:r>
      <w:r>
        <w:t xml:space="preserve">, extending to include the use and end-of-life phases, following the GHG Protocol. The assessment identifies key emission hotspots across its lifecycle, from raw material extraction to manufacturing, transport, use, and end-of-life. The total carbon footprint for one functional unit of hnrmjpoirw is estimated to be</w:t>
      </w:r>
      <w:r>
        <w:t xml:space="preserve"> </w:t>
      </w:r>
      <w:r>
        <w:rPr>
          <w:bCs/>
          <w:b/>
        </w:rPr>
        <w:t xml:space="preserve">XX kg CO2e</w:t>
      </w:r>
      <w:r>
        <w:t xml:space="preserve"> </w:t>
      </w:r>
      <w:r>
        <w:t xml:space="preserve">(Detailed calculation below, this will be filled after calculations are done). Primary drivers of emissions include material production and the energy consumption during the product\'s use phase. Recommendations focus on material efficiency, renewable energy integration, and circular economy initiatives.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hnrmjpoirw was performed adhering strictly to the five-step methodology of the GHG Protocol Product Standard. The focus is on providing a comprehensive and transparent assessment of greenhouse gas emissions across the product\'s lifecycle.</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hnrmjpoirw</w:t>
      </w:r>
    </w:p>
    <w:p>
      <w:pPr>
        <w:numPr>
          <w:ilvl w:val="0"/>
          <w:numId w:val="1001"/>
        </w:numPr>
        <w:pStyle w:val="Compact"/>
      </w:pPr>
      <w:r>
        <w:t xml:space="preserve">This unit serves as the reference basis for quantifying all inputs and outputs of the product system, ensuring comparability of results.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(extended to cradle-to-grave for use and end-of-life phases as per specific requirements)</w:t>
      </w:r>
    </w:p>
    <w:p>
      <w:pPr>
        <w:numPr>
          <w:ilvl w:val="0"/>
          <w:numId w:val="1002"/>
        </w:numPr>
        <w:pStyle w:val="Compact"/>
      </w:pPr>
      <w:r>
        <w:t xml:space="preserve">This PCF analyzes emissions from raw material acquisition, manufacturing, and transport up to the point the product leaves the factory gate. The analysis also includes the use phase and end-of-life scenarios as per specific requirements, providing a comprehensive assessment of the product\'s full lifecycle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geographic scope considers the primary manufacturing location in China and a supply chain largely originating from and focused on Europe, which impacts transportation distances and associated emission factors.</w:t>
      </w:r>
    </w:p>
    <w:bookmarkEnd w:id="24"/>
    <w:bookmarkStart w:id="25" w:name="allocation"/>
    <w:p>
      <w:pPr>
        <w:pStyle w:val="Heading3"/>
      </w:pPr>
      <w:r>
        <w:t xml:space="preserve">1.4. Allocation</w:t>
      </w:r>
    </w:p>
    <w:p>
      <w:pPr>
        <w:numPr>
          <w:ilvl w:val="0"/>
          <w:numId w:val="1004"/>
        </w:numPr>
        <w:pStyle w:val="Compact"/>
      </w:pPr>
      <w:r>
        <w:t xml:space="preserve">Emissions from shared processes (e.g., multi-product facilities) are allocated to hnrmjpoirw based on mass, economic value, or other relevant physical relationships, as appropriate for the specific process. For materials, direct allocation of emissions associated with the quantity used in the functional unit is applied.</w:t>
      </w:r>
    </w:p>
    <w:p>
      <w:r>
        <w:pict>
          <v:rect style="width:0;height:1.5pt" o:hralign="center" o:hrstd="t" o:hr="t"/>
        </w:pict>
      </w:r>
    </w:p>
    <w:bookmarkEnd w:id="25"/>
    <w:bookmarkEnd w:id="26"/>
    <w:bookmarkStart w:id="30" w:name="X5c4f1babde60e279edceee15b145f0a0e623b85"/>
    <w:p>
      <w:pPr>
        <w:pStyle w:val="Heading2"/>
      </w:pPr>
      <w:r>
        <w:t xml:space="preserve">2. Lifecycle Mapping and Inventory Stages (LCI)</w:t>
      </w:r>
    </w:p>
    <w:p>
      <w:pPr>
        <w:pStyle w:val="FirstParagraph"/>
      </w:pPr>
      <w:r>
        <w:t xml:space="preserve">The lifecycle of hnrmjpoirw is mapped to identify all relevant stages for inventory data collection. Emissions are categorized according to the GHG Protocol\'s Scope 1, 2, and 3 definitions.</w:t>
      </w:r>
    </w:p>
    <w:bookmarkStart w:id="27" w:name="ghg-protocol-scopes"/>
    <w:p>
      <w:pPr>
        <w:pStyle w:val="Heading3"/>
      </w:pPr>
      <w:r>
        <w:t xml:space="preserve">2.1. GHG Protocol Scopes</w:t>
      </w:r>
    </w:p>
    <w:p>
      <w:pPr>
        <w:numPr>
          <w:ilvl w:val="0"/>
          <w:numId w:val="1005"/>
        </w:numPr>
        <w:pStyle w:val="Compact"/>
      </w:pPr>
      <w:r>
        <w:rPr>
          <w:bCs/>
          <w:b/>
        </w:rPr>
        <w:t xml:space="preserve">Scope 1 (Direct Emissions):</w:t>
      </w:r>
      <w:r>
        <w:t xml:space="preserve"> </w:t>
      </w:r>
      <w:r>
        <w:t xml:space="preserve">Emissions from sources directly owned or controlled by ksrljqosno (e.g., on-site combustion for manufacturing processes). For a product-level PCF, these are generally integrated into the production phase.</w:t>
      </w:r>
    </w:p>
    <w:p>
      <w:pPr>
        <w:numPr>
          <w:ilvl w:val="0"/>
          <w:numId w:val="1005"/>
        </w:numPr>
        <w:pStyle w:val="Compact"/>
      </w:pPr>
      <w:r>
        <w:rPr>
          <w:bCs/>
          <w:b/>
        </w:rPr>
        <w:t xml:space="preserve">Scope 2 (Indirect Emissions from Purchased Energy):</w:t>
      </w:r>
      <w:r>
        <w:t xml:space="preserve"> </w:t>
      </w:r>
      <w:r>
        <w:t xml:space="preserve">Emissions from the generation of purchased electricity, heat, or steam consumed by ksrljqosno\'s manufacturing facilities.</w:t>
      </w:r>
    </w:p>
    <w:p>
      <w:pPr>
        <w:numPr>
          <w:ilvl w:val="0"/>
          <w:numId w:val="1005"/>
        </w:numPr>
        <w:pStyle w:val="Compact"/>
      </w:pPr>
      <w:r>
        <w:rPr>
          <w:bCs/>
          <w:b/>
        </w:rPr>
        <w:t xml:space="preserve">Scope 3 (Other Indirect Emissions):</w:t>
      </w:r>
      <w:r>
        <w:t xml:space="preserve"> </w:t>
      </w:r>
      <w:r>
        <w:t xml:space="preserve">All other indirect emissions that occur in the value chain of the product, both upstream and downstream. This includes emissions from raw material extraction and processing, transportation (inbound/outbound), use phase, and end-of-life treatment. Adherence to the 2026 requirements ensures at least 95% coverage for Scope 3 reporting.</w:t>
      </w:r>
    </w:p>
    <w:bookmarkEnd w:id="27"/>
    <w:bookmarkStart w:id="28" w:name="land-sector-and-removals-lsr-update"/>
    <w:p>
      <w:pPr>
        <w:pStyle w:val="Heading3"/>
      </w:pPr>
      <w:r>
        <w:t xml:space="preserve">2.2. 2026 Land Sector and Removals (LSR) Update</w:t>
      </w:r>
    </w:p>
    <w:p>
      <w:pPr>
        <w:numPr>
          <w:ilvl w:val="0"/>
          <w:numId w:val="1006"/>
        </w:numPr>
        <w:pStyle w:val="Compact"/>
      </w:pPr>
      <w:r>
        <w:t xml:space="preserve">The analysis incorporates the GHG Protocol\'s 2026 Land Sector and Removals (LSR) Standard, released on January 30, 2026, and taking effect on January 1, 2027. This ensures that emissions and removals related to land use change, land management, and bioenergy are accounted for in the product\'s footprint, providing a more holistic view of its environmental impact. While the product hnrmjpoirw does not explicitly detail bio-based materials, the framework of LSR is acknowledged for comprehensive reporting, especially for products with land-intensive value chain activities.</w:t>
      </w:r>
    </w:p>
    <w:bookmarkEnd w:id="28"/>
    <w:bookmarkStart w:id="29" w:name="lifecycle-stages-mapped"/>
    <w:p>
      <w:pPr>
        <w:pStyle w:val="Heading3"/>
      </w:pPr>
      <w:r>
        <w:t xml:space="preserve">2.3. Lifecycle Stages Mapped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 Classification</w:t>
            </w:r>
          </w:p>
        </w:tc>
        <w:tc>
          <w:tcPr/>
          <w:p>
            <w:pPr>
              <w:pStyle w:val="Compact"/>
              <w:jc w:val="left"/>
            </w:pPr>
            <w:r>
              <w:t xml:space="preserve">Key Inputs/Processes</w:t>
            </w:r>
          </w:p>
        </w:tc>
      </w:tr>
      <w:tr>
        <w:tc>
          <w:tcPr/>
          <w:p>
            <w:pPr>
              <w:pStyle w:val="Compact"/>
              <w:jc w:val="left"/>
            </w:pPr>
            <w:r>
              <w:rPr>
                <w:bCs/>
                <w:b/>
              </w:rPr>
              <w:t xml:space="preserve">A1: Raw Material Extraction &amp; Processing</w:t>
            </w:r>
          </w:p>
        </w:tc>
        <w:tc>
          <w:tcPr/>
          <w:p>
            <w:pPr>
              <w:pStyle w:val="Compact"/>
              <w:jc w:val="left"/>
            </w:pPr>
            <w:r>
              <w:t xml:space="preserve">Acquisition and pre-processing of all materials required for hnrmjpoirw.</w:t>
            </w:r>
          </w:p>
        </w:tc>
        <w:tc>
          <w:tcPr/>
          <w:p>
            <w:pPr>
              <w:pStyle w:val="Compact"/>
              <w:jc w:val="left"/>
            </w:pPr>
            <w:r>
              <w:t xml:space="preserve">Scope 3 (Upstream)</w:t>
            </w:r>
          </w:p>
        </w:tc>
        <w:tc>
          <w:tcPr/>
          <w:p>
            <w:pPr>
              <w:pStyle w:val="Compact"/>
              <w:jc w:val="left"/>
            </w:pPr>
            <w:r>
              <w:t xml:space="preserve">Mining, agriculture, chemical production, refining, material fabrication.</w:t>
            </w:r>
          </w:p>
        </w:tc>
      </w:tr>
      <w:tr>
        <w:tc>
          <w:tcPr/>
          <w:p>
            <w:pPr>
              <w:pStyle w:val="Compact"/>
              <w:jc w:val="left"/>
            </w:pPr>
            <w:r>
              <w:rPr>
                <w:bCs/>
                <w:b/>
              </w:rPr>
              <w:t xml:space="preserve">A2: Transport to Manufacturer</w:t>
            </w:r>
          </w:p>
        </w:tc>
        <w:tc>
          <w:tcPr/>
          <w:p>
            <w:pPr>
              <w:pStyle w:val="Compact"/>
              <w:jc w:val="left"/>
            </w:pPr>
            <w:r>
              <w:t xml:space="preserve">Transportation of raw materials and components from suppliers to the manufacturing facility in China.</w:t>
            </w:r>
          </w:p>
        </w:tc>
        <w:tc>
          <w:tcPr/>
          <w:p>
            <w:pPr>
              <w:pStyle w:val="Compact"/>
              <w:jc w:val="left"/>
            </w:pPr>
            <w:r>
              <w:t xml:space="preserve">Scope 3 (Upstream)</w:t>
            </w:r>
          </w:p>
        </w:tc>
        <w:tc>
          <w:tcPr/>
          <w:p>
            <w:pPr>
              <w:pStyle w:val="Compact"/>
              <w:jc w:val="left"/>
            </w:pPr>
            <w:r>
              <w:t xml:space="preserve">Road freight, ocean freight, air freight.</w:t>
            </w:r>
          </w:p>
        </w:tc>
      </w:tr>
      <w:tr>
        <w:tc>
          <w:tcPr/>
          <w:p>
            <w:pPr>
              <w:pStyle w:val="Compact"/>
              <w:jc w:val="left"/>
            </w:pPr>
            <w:r>
              <w:rPr>
                <w:bCs/>
                <w:b/>
              </w:rPr>
              <w:t xml:space="preserve">A3: Manufacturing (Factory Gate)</w:t>
            </w:r>
          </w:p>
        </w:tc>
        <w:tc>
          <w:tcPr/>
          <w:p>
            <w:pPr>
              <w:pStyle w:val="Compact"/>
              <w:jc w:val="left"/>
            </w:pPr>
            <w:r>
              <w:t xml:space="preserve">All manufacturing processes, assembly, packaging, and waste treatment at the production facility in China.</w:t>
            </w:r>
          </w:p>
        </w:tc>
        <w:tc>
          <w:tcPr/>
          <w:p>
            <w:pPr>
              <w:pStyle w:val="Compact"/>
              <w:jc w:val="left"/>
            </w:pPr>
            <w:r>
              <w:t xml:space="preserve">Scope 1 (Direct), Scope 2 (Energy), Scope 3 (Waste)</w:t>
            </w:r>
          </w:p>
        </w:tc>
        <w:tc>
          <w:tcPr/>
          <w:p>
            <w:pPr>
              <w:pStyle w:val="Compact"/>
              <w:jc w:val="left"/>
            </w:pPr>
            <w:r>
              <w:t xml:space="preserve">Energy consumption (electricity, fuel), chemical reactions, direct emissions from processes.</w:t>
            </w:r>
          </w:p>
        </w:tc>
      </w:tr>
      <w:tr>
        <w:tc>
          <w:tcPr/>
          <w:p>
            <w:pPr>
              <w:pStyle w:val="Compact"/>
              <w:jc w:val="left"/>
            </w:pPr>
            <w:r>
              <w:rPr>
                <w:bCs/>
                <w:b/>
              </w:rPr>
              <w:t xml:space="preserve">A4: Transport to Distribution</w:t>
            </w:r>
          </w:p>
        </w:tc>
        <w:tc>
          <w:tcPr/>
          <w:p>
            <w:pPr>
              <w:pStyle w:val="Compact"/>
              <w:jc w:val="left"/>
            </w:pPr>
            <w:r>
              <w:t xml:space="preserve">Transportation of the finished product from the factory gate in China to distribution centers or retailers.</w:t>
            </w:r>
          </w:p>
        </w:tc>
        <w:tc>
          <w:tcPr/>
          <w:p>
            <w:pPr>
              <w:pStyle w:val="Compact"/>
              <w:jc w:val="left"/>
            </w:pPr>
            <w:r>
              <w:t xml:space="preserve">Scope 3 (Downstream)</w:t>
            </w:r>
          </w:p>
        </w:tc>
        <w:tc>
          <w:tcPr/>
          <w:p>
            <w:pPr>
              <w:pStyle w:val="Compact"/>
              <w:jc w:val="left"/>
            </w:pPr>
            <w:r>
              <w:t xml:space="preserve">Road freight, ocean freight, air freight, rail freight.</w:t>
            </w:r>
          </w:p>
        </w:tc>
      </w:tr>
      <w:tr>
        <w:tc>
          <w:tcPr/>
          <w:p>
            <w:pPr>
              <w:pStyle w:val="Compact"/>
              <w:jc w:val="left"/>
            </w:pPr>
            <w:r>
              <w:rPr>
                <w:bCs/>
                <w:b/>
              </w:rPr>
              <w:t xml:space="preserve">A5: Last-Mile Delivery</w:t>
            </w:r>
          </w:p>
        </w:tc>
        <w:tc>
          <w:tcPr/>
          <w:p>
            <w:pPr>
              <w:pStyle w:val="Compact"/>
              <w:jc w:val="left"/>
            </w:pPr>
            <w:r>
              <w:t xml:space="preserve">Final delivery of the product from distribution hubs to the end-consumer.</w:t>
            </w:r>
          </w:p>
        </w:tc>
        <w:tc>
          <w:tcPr/>
          <w:p>
            <w:pPr>
              <w:pStyle w:val="Compact"/>
              <w:jc w:val="left"/>
            </w:pPr>
            <w:r>
              <w:t xml:space="preserve">Scope 3 (Downstream)</w:t>
            </w:r>
          </w:p>
        </w:tc>
        <w:tc>
          <w:tcPr/>
          <w:p>
            <w:pPr>
              <w:pStyle w:val="Compact"/>
              <w:jc w:val="left"/>
            </w:pPr>
            <w:r>
              <w:t xml:space="preserve">Light commercial vehicles (vans), electric vehicles.</w:t>
            </w:r>
          </w:p>
        </w:tc>
      </w:tr>
      <w:tr>
        <w:tc>
          <w:tcPr/>
          <w:p>
            <w:pPr>
              <w:pStyle w:val="Compact"/>
              <w:jc w:val="left"/>
            </w:pPr>
            <w:r>
              <w:rPr>
                <w:bCs/>
                <w:b/>
              </w:rPr>
              <w:t xml:space="preserve">B: Use Phase</w:t>
            </w:r>
          </w:p>
        </w:tc>
        <w:tc>
          <w:tcPr/>
          <w:p>
            <w:pPr>
              <w:pStyle w:val="Compact"/>
              <w:jc w:val="left"/>
            </w:pPr>
            <w:r>
              <w:t xml:space="preserve">Emissions arising from the product\'s intended use over its lifespan by the end-consumer.</w:t>
            </w:r>
          </w:p>
        </w:tc>
        <w:tc>
          <w:tcPr/>
          <w:p>
            <w:pPr>
              <w:pStyle w:val="Compact"/>
              <w:jc w:val="left"/>
            </w:pPr>
            <w:r>
              <w:t xml:space="preserve">Scope 3 (Downstream)</w:t>
            </w:r>
          </w:p>
        </w:tc>
        <w:tc>
          <w:tcPr/>
          <w:p>
            <w:pPr>
              <w:pStyle w:val="Compact"/>
              <w:jc w:val="left"/>
            </w:pPr>
            <w:r>
              <w:t xml:space="preserve">Energy consumption, maintenance, cleaning.</w:t>
            </w:r>
          </w:p>
        </w:tc>
      </w:tr>
      <w:tr>
        <w:tc>
          <w:tcPr/>
          <w:p>
            <w:pPr>
              <w:pStyle w:val="Compact"/>
              <w:jc w:val="left"/>
            </w:pPr>
            <w:r>
              <w:rPr>
                <w:bCs/>
                <w:b/>
              </w:rPr>
              <w:t xml:space="preserve">C: End-of-Life (EoL)</w:t>
            </w:r>
          </w:p>
        </w:tc>
        <w:tc>
          <w:tcPr/>
          <w:p>
            <w:pPr>
              <w:pStyle w:val="Compact"/>
              <w:jc w:val="left"/>
            </w:pPr>
            <w:r>
              <w:t xml:space="preserve">Disposal or recovery processes at the end of the product\'s useful life.</w:t>
            </w:r>
          </w:p>
        </w:tc>
        <w:tc>
          <w:tcPr/>
          <w:p>
            <w:pPr>
              <w:pStyle w:val="Compact"/>
              <w:jc w:val="left"/>
            </w:pPr>
            <w:r>
              <w:t xml:space="preserve">Scope 3 (Downstream)</w:t>
            </w:r>
          </w:p>
        </w:tc>
        <w:tc>
          <w:tcPr/>
          <w:p>
            <w:pPr>
              <w:pStyle w:val="Compact"/>
              <w:jc w:val="left"/>
            </w:pPr>
            <w:r>
              <w:t xml:space="preserve">Recycling, landfill, incineration, composting, circular economy programs.</w:t>
            </w:r>
          </w:p>
        </w:tc>
      </w:tr>
    </w:tbl>
    <w:p>
      <w:r>
        <w:pict>
          <v:rect style="width:0;height:1.5pt" o:hralign="center" o:hrstd="t" o:hr="t"/>
        </w:pict>
      </w:r>
    </w:p>
    <w:bookmarkEnd w:id="29"/>
    <w:bookmarkEnd w:id="30"/>
    <w:bookmarkStart w:id="37" w:name="data-collection-and-inputs"/>
    <w:p>
      <w:pPr>
        <w:pStyle w:val="Heading2"/>
      </w:pPr>
      <w:r>
        <w:t xml:space="preserve">3. Data Collection and Inputs</w:t>
      </w:r>
    </w:p>
    <w:p>
      <w:pPr>
        <w:pStyle w:val="FirstParagraph"/>
      </w:pPr>
      <w:r>
        <w:t xml:space="preserve">This section details the primary and secondary data points collected and used for the PCF analysis. For abstract parameters provided, representative numerical or descriptive placeholders have been used to enable calculation, and actual values would be required for a precise final report.</w:t>
      </w:r>
    </w:p>
    <w:bookmarkStart w:id="31" w:name="detailed-bill-of-materials-bom"/>
    <w:p>
      <w:pPr>
        <w:pStyle w:val="Heading3"/>
      </w:pPr>
      <w:r>
        <w:t xml:space="preserve">3.1. Detailed Bill of Materials (BOM)</w:t>
      </w:r>
    </w:p>
    <w:p>
      <w:pPr>
        <w:pStyle w:val="FirstParagraph"/>
      </w:pPr>
      <w:r>
        <w:t xml:space="preserve">The following detailed Bill of Materials (BOM) data, represented by `imtjkekq` (using a sample for calculation), was used for high-accuracy material impact calculation. The \'Total Carbon\' values are directly utilized as instructed.</w:t>
      </w:r>
    </w:p>
    <w:p>
      <w:pPr>
        <w:pStyle w:val="BodyText"/>
      </w:pPr>
      <w:r>
        <w:t xml:space="preserve">\';</w:t>
      </w:r>
      <w:r>
        <w:t xml:space="preserve"> </w:t>
      </w:r>
      <w:r>
        <w:t xml:space="preserve">echo \'</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w:t>
      </w:r>
      <w:r>
        <w:t xml:space="preserve"> </w:t>
      </w:r>
      <w:r>
        <w:t xml:space="preserve">echo \'</w:t>
      </w:r>
    </w:p>
    <w:p>
      <w:pPr>
        <w:pStyle w:val="BodyText"/>
      </w:pPr>
      <w:r>
        <w:t xml:space="preserve">\';</w:t>
      </w:r>
      <w:r>
        <w:t xml:space="preserve"> </w:t>
      </w:r>
      <w:r>
        <w:t xml:space="preserve">foreach ($bom_items as $item_string) {</w:t>
      </w:r>
      <w:r>
        <w:t xml:space="preserve"> </w:t>
      </w:r>
      <w:r>
        <w:t xml:space="preserve">$item = explode(\',\', $item_string);</w:t>
      </w:r>
      <w:r>
        <w:t xml:space="preserve"> </w:t>
      </w:r>
      <w:r>
        <w:t xml:space="preserve">echo \'</w:t>
      </w:r>
    </w:p>
    <w:p>
      <w:pPr>
        <w:pStyle w:val="BodyText"/>
      </w:pPr>
      <w:r>
        <w:t xml:space="preserve">\';</w:t>
      </w:r>
      <w:r>
        <w:t xml:space="preserve"> </w:t>
      </w:r>
      <w:r>
        <w:t xml:space="preserve">foreach ($item as $index =&gt; $value) {</w:t>
      </w:r>
      <w:r>
        <w:t xml:space="preserve"> </w:t>
      </w:r>
      <w:r>
        <w:t xml:space="preserve">echo \'</w:t>
      </w:r>
    </w:p>
    <w:p>
      <w:pPr>
        <w:pStyle w:val="BodyText"/>
      </w:pPr>
      <w:r>
        <w:t xml:space="preserve">\' . htmlspecialchars(trim($value)) . \'</w:t>
      </w:r>
    </w:p>
    <w:p>
      <w:pPr>
        <w:pStyle w:val="BodyText"/>
      </w:pPr>
      <w:r>
        <w:t xml:space="preserve">\';</w:t>
      </w:r>
      <w:r>
        <w:t xml:space="preserve"> </w:t>
      </w:r>
      <w:r>
        <w:t xml:space="preserve">if ($index == 7) { // Assuming Total Carbon is the 8th element (index 7)</w:t>
      </w:r>
      <w:r>
        <w:t xml:space="preserve"> </w:t>
      </w:r>
      <w:r>
        <w:t xml:space="preserve">$total_material_carbon += (float)trim($value);</w:t>
      </w:r>
      <w:r>
        <w:t xml:space="preserve"> </w:t>
      </w:r>
      <w:r>
        <w:t xml:space="preserve">}</w:t>
      </w:r>
      <w:r>
        <w:t xml:space="preserve"> </w:t>
      </w:r>
      <w:r>
        <w:t xml:space="preserve">if ($index == 4) { // Assuming Quantity is the 5th element (index 4)</w:t>
      </w:r>
      <w:r>
        <w:t xml:space="preserve"> </w:t>
      </w:r>
      <w:r>
        <w:t xml:space="preserve">$material_weight_for_recycling += (float)trim($value);</w:t>
      </w:r>
      <w:r>
        <w:t xml:space="preserve"> </w:t>
      </w:r>
      <w:r>
        <w:t xml:space="preserve">}</w:t>
      </w:r>
      <w:r>
        <w:t xml:space="preserve"> </w:t>
      </w: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p>
      <w:pPr>
        <w:pStyle w:val="BodyText"/>
      </w:pPr>
      <w:r>
        <w:rPr>
          <w:bCs/>
          <w:b/>
        </w:rPr>
        <w:t xml:space="preserve">Total Material Carbon Footprint (Scope 3 Upstream):</w:t>
      </w:r>
      <w:r>
        <w:t xml:space="preserve"> </w:t>
      </w:r>
      <w:r>
        <w:t xml:space="preserve">kg CO2e</w:t>
      </w:r>
    </w:p>
    <w:bookmarkEnd w:id="31"/>
    <w:bookmarkStart w:id="32" w:name="production-phase-data"/>
    <w:p>
      <w:pPr>
        <w:pStyle w:val="Heading3"/>
      </w:pPr>
      <w:r>
        <w:t xml:space="preserve">3.2. Production Phase Data</w:t>
      </w:r>
    </w:p>
    <w:p>
      <w:pPr>
        <w:numPr>
          <w:ilvl w:val="0"/>
          <w:numId w:val="1007"/>
        </w:numPr>
        <w:pStyle w:val="Compact"/>
      </w:pPr>
      <w:r>
        <w:rPr>
          <w:bCs/>
          <w:b/>
        </w:rPr>
        <w:t xml:space="preserve">Energy Intensity (kWh/unit):</w:t>
      </w:r>
    </w:p>
    <w:p>
      <w:pPr>
        <w:numPr>
          <w:ilvl w:val="0"/>
          <w:numId w:val="1000"/>
        </w:numPr>
        <w:pStyle w:val="Compact"/>
      </w:pPr>
      <w:r>
        <w:t xml:space="preserve">kWh/unit (placeholder for `qrfnuedzkl`)</w:t>
      </w:r>
    </w:p>
    <w:p>
      <w:pPr>
        <w:numPr>
          <w:ilvl w:val="0"/>
          <w:numId w:val="1007"/>
        </w:numPr>
        <w:pStyle w:val="Compact"/>
      </w:pPr>
      <w:r>
        <w:rPr>
          <w:bCs/>
          <w:b/>
        </w:rPr>
        <w:t xml:space="preserve">Renewable Energy Usage:</w:t>
      </w:r>
    </w:p>
    <w:p>
      <w:pPr>
        <w:numPr>
          <w:ilvl w:val="0"/>
          <w:numId w:val="1000"/>
        </w:numPr>
        <w:pStyle w:val="Compact"/>
      </w:pPr>
      <w:r>
        <w:t xml:space="preserve">% (placeholder for `nsgdtjefew`)</w:t>
      </w:r>
    </w:p>
    <w:p>
      <w:pPr>
        <w:numPr>
          <w:ilvl w:val="0"/>
          <w:numId w:val="1007"/>
        </w:numPr>
        <w:pStyle w:val="Compact"/>
      </w:pPr>
      <w:r>
        <w:rPr>
          <w:bCs/>
          <w:b/>
        </w:rPr>
        <w:t xml:space="preserve">Non-Renewable Energy Usage:</w:t>
      </w:r>
    </w:p>
    <w:p>
      <w:pPr>
        <w:numPr>
          <w:ilvl w:val="0"/>
          <w:numId w:val="1000"/>
        </w:numPr>
        <w:pStyle w:val="Compact"/>
      </w:pPr>
      <w:r>
        <w:t xml:space="preserve">%</w:t>
      </w:r>
    </w:p>
    <w:p>
      <w:pPr>
        <w:numPr>
          <w:ilvl w:val="0"/>
          <w:numId w:val="1007"/>
        </w:numPr>
        <w:pStyle w:val="Compact"/>
      </w:pPr>
      <w:r>
        <w:rPr>
          <w:bCs/>
          <w:b/>
        </w:rPr>
        <w:t xml:space="preserve">Electricity Grid Emission Factor (China):</w:t>
      </w:r>
      <w:r>
        <w:t xml:space="preserve"> </w:t>
      </w:r>
      <w:r>
        <w:t xml:space="preserve">0.6205 kg CO2e/kWh (national average for 2023, latest available from official sources released Jan 2025)</w:t>
      </w:r>
    </w:p>
    <w:bookmarkEnd w:id="32"/>
    <w:bookmarkStart w:id="34" w:name="logistics-data"/>
    <w:p>
      <w:pPr>
        <w:pStyle w:val="Heading3"/>
      </w:pPr>
      <w:r>
        <w:t xml:space="preserve">3.3. Logistics Data</w:t>
      </w:r>
    </w:p>
    <w:p>
      <w:pPr>
        <w:numPr>
          <w:ilvl w:val="0"/>
          <w:numId w:val="1008"/>
        </w:numPr>
        <w:pStyle w:val="Compact"/>
      </w:pPr>
      <w:r>
        <w:rPr>
          <w:bCs/>
          <w:b/>
        </w:rPr>
        <w:t xml:space="preserve">Primary Transport Mode:</w:t>
      </w:r>
      <w:r>
        <w:t xml:space="preserve"> </w:t>
      </w:r>
      <w:r>
        <w:t xml:space="preserve">Ocean Freight, then Road Freight (placeholder for `Select Mode`)</w:t>
      </w:r>
    </w:p>
    <w:p>
      <w:pPr>
        <w:numPr>
          <w:ilvl w:val="0"/>
          <w:numId w:val="1008"/>
        </w:numPr>
        <w:pStyle w:val="Compact"/>
      </w:pPr>
      <w:r>
        <w:rPr>
          <w:bCs/>
          <w:b/>
        </w:rPr>
        <w:t xml:space="preserve">Primary Transport Distance:</w:t>
      </w:r>
      <w:r>
        <w:t xml:space="preserve"> </w:t>
      </w:r>
      <w:r>
        <w:t xml:space="preserve">Ocean: 15000 km, Road: 500 km (placeholder for `enjyrxzqvh`)</w:t>
      </w:r>
    </w:p>
    <w:p>
      <w:pPr>
        <w:numPr>
          <w:ilvl w:val="0"/>
          <w:numId w:val="1008"/>
        </w:numPr>
        <w:pStyle w:val="Compact"/>
      </w:pPr>
      <w:r>
        <w:rPr>
          <w:bCs/>
          <w:b/>
        </w:rPr>
        <w:t xml:space="preserve">Last-Mile Delivery Channel:</w:t>
      </w:r>
      <w:r>
        <w:t xml:space="preserve"> </w:t>
      </w:r>
      <w:r>
        <w:t xml:space="preserve">Electric Van (placeholder for `Delivery Type`)</w:t>
      </w:r>
    </w:p>
    <w:p>
      <w:pPr>
        <w:numPr>
          <w:ilvl w:val="0"/>
          <w:numId w:val="1008"/>
        </w:numPr>
        <w:pStyle w:val="Compact"/>
      </w:pPr>
      <w:r>
        <w:rPr>
          <w:bCs/>
          <w:b/>
        </w:rPr>
        <w:t xml:space="preserve">Assumed Product Weight for Transport:</w:t>
      </w:r>
      <w:r>
        <w:t xml:space="preserve"> </w:t>
      </w:r>
      <w:r>
        <w:t xml:space="preserve">1 kg/unit (for TKM calculation, illustrative)</w:t>
      </w:r>
    </w:p>
    <w:bookmarkStart w:id="33" w:name="Xbea66b9f3ad5d6746ac5e365ab01e42c41b1cf5"/>
    <w:p>
      <w:pPr>
        <w:pStyle w:val="Heading4"/>
      </w:pPr>
      <w:r>
        <w:t xml:space="preserve">Emission Factors for Transport (illustrative, based on industry averages):</w:t>
      </w:r>
    </w:p>
    <w:p>
      <w:pPr>
        <w:numPr>
          <w:ilvl w:val="0"/>
          <w:numId w:val="1009"/>
        </w:numPr>
        <w:pStyle w:val="Compact"/>
      </w:pPr>
      <w:r>
        <w:t xml:space="preserve">Ocean Freight (Container Ship): 0.016 kg CO2e/tkm</w:t>
      </w:r>
    </w:p>
    <w:p>
      <w:pPr>
        <w:numPr>
          <w:ilvl w:val="0"/>
          <w:numId w:val="1009"/>
        </w:numPr>
        <w:pStyle w:val="Compact"/>
      </w:pPr>
      <w:r>
        <w:t xml:space="preserve">Road Freight (Heavy Goods Vehicle, Europe): 0.060 kg CO2e/tkm (illustrative average, combining various sources)</w:t>
      </w:r>
    </w:p>
    <w:p>
      <w:pPr>
        <w:numPr>
          <w:ilvl w:val="0"/>
          <w:numId w:val="1009"/>
        </w:numPr>
        <w:pStyle w:val="Compact"/>
      </w:pPr>
      <w:r>
        <w:t xml:space="preserve">Last-Mile Electric Van: 0.05 kg CO2e/km (illustrative, considering grid mix for charging)</w:t>
      </w:r>
    </w:p>
    <w:bookmarkEnd w:id="33"/>
    <w:bookmarkEnd w:id="34"/>
    <w:bookmarkStart w:id="35" w:name="use-phase-data"/>
    <w:p>
      <w:pPr>
        <w:pStyle w:val="Heading3"/>
      </w:pPr>
      <w:r>
        <w:t xml:space="preserve">3.4. Use Phase Data</w:t>
      </w:r>
    </w:p>
    <w:p>
      <w:pPr>
        <w:numPr>
          <w:ilvl w:val="0"/>
          <w:numId w:val="1010"/>
        </w:numPr>
        <w:pStyle w:val="Compact"/>
      </w:pPr>
      <w:r>
        <w:rPr>
          <w:bCs/>
          <w:b/>
        </w:rPr>
        <w:t xml:space="preserve">Product Lifespan:</w:t>
      </w:r>
    </w:p>
    <w:p>
      <w:pPr>
        <w:numPr>
          <w:ilvl w:val="0"/>
          <w:numId w:val="1000"/>
        </w:numPr>
        <w:pStyle w:val="Compact"/>
      </w:pPr>
      <w:r>
        <w:t xml:space="preserve">years (placeholder for `sylixqngfx`)</w:t>
      </w:r>
    </w:p>
    <w:p>
      <w:pPr>
        <w:numPr>
          <w:ilvl w:val="0"/>
          <w:numId w:val="1010"/>
        </w:numPr>
        <w:pStyle w:val="Compact"/>
      </w:pPr>
      <w:r>
        <w:rPr>
          <w:bCs/>
          <w:b/>
        </w:rPr>
        <w:t xml:space="preserve">Energy Consumption in Use:</w:t>
      </w:r>
    </w:p>
    <w:p>
      <w:pPr>
        <w:numPr>
          <w:ilvl w:val="0"/>
          <w:numId w:val="1000"/>
        </w:numPr>
        <w:pStyle w:val="Compact"/>
      </w:pPr>
      <w:r>
        <w:t xml:space="preserve">kWh/year (placeholder for `jqikkjrhpm`)</w:t>
      </w:r>
    </w:p>
    <w:p>
      <w:pPr>
        <w:numPr>
          <w:ilvl w:val="0"/>
          <w:numId w:val="1010"/>
        </w:numPr>
        <w:pStyle w:val="Compact"/>
      </w:pPr>
      <w:r>
        <w:rPr>
          <w:bCs/>
          <w:b/>
        </w:rPr>
        <w:t xml:space="preserve">Assumed User\'s Grid Emission Factor (average):</w:t>
      </w:r>
      <w:r>
        <w:t xml:space="preserve"> </w:t>
      </w:r>
      <w:r>
        <w:t xml:space="preserve">0.4 kg CO2e/kWh (global average proxy for downstream use, illustrative)</w:t>
      </w:r>
    </w:p>
    <w:bookmarkEnd w:id="35"/>
    <w:bookmarkStart w:id="36" w:name="end-of-life-eol-scenarios"/>
    <w:p>
      <w:pPr>
        <w:pStyle w:val="Heading3"/>
      </w:pPr>
      <w:r>
        <w:t xml:space="preserve">3.5. End-of-Life (EoL) Scenarios</w:t>
      </w:r>
    </w:p>
    <w:p>
      <w:pPr>
        <w:numPr>
          <w:ilvl w:val="0"/>
          <w:numId w:val="1011"/>
        </w:numPr>
        <w:pStyle w:val="Compact"/>
      </w:pPr>
      <w:r>
        <w:rPr>
          <w:bCs/>
          <w:b/>
        </w:rPr>
        <w:t xml:space="preserve">Recyclability Percentage:</w:t>
      </w:r>
    </w:p>
    <w:p>
      <w:pPr>
        <w:numPr>
          <w:ilvl w:val="0"/>
          <w:numId w:val="1000"/>
        </w:numPr>
        <w:pStyle w:val="Compact"/>
      </w:pPr>
      <w:r>
        <w:t xml:space="preserve">% (placeholder for `sflqypgegn`)</w:t>
      </w:r>
    </w:p>
    <w:p>
      <w:pPr>
        <w:numPr>
          <w:ilvl w:val="0"/>
          <w:numId w:val="1011"/>
        </w:numPr>
        <w:pStyle w:val="Compact"/>
      </w:pPr>
      <w:r>
        <w:rPr>
          <w:bCs/>
          <w:b/>
        </w:rPr>
        <w:t xml:space="preserve">Circular/Take-back Programs:</w:t>
      </w:r>
      <w:r>
        <w:t xml:space="preserve"> </w:t>
      </w:r>
      <w:r>
        <w:t xml:space="preserve">Product Take-back Program in EU (placeholder for `rlrvekzvey`)</w:t>
      </w:r>
    </w:p>
    <w:p>
      <w:pPr>
        <w:numPr>
          <w:ilvl w:val="0"/>
          <w:numId w:val="1011"/>
        </w:numPr>
        <w:pStyle w:val="Compact"/>
      </w:pPr>
      <w:r>
        <w:rPr>
          <w:bCs/>
          <w:b/>
        </w:rPr>
        <w:t xml:space="preserve">Assumed Avoided Emissions from Recycling:</w:t>
      </w:r>
      <w:r>
        <w:t xml:space="preserve"> </w:t>
      </w:r>
      <w:r>
        <w:t xml:space="preserve">1.5 kg CO2e/kg (illustrative average across materials)</w:t>
      </w:r>
    </w:p>
    <w:p>
      <w:r>
        <w:pict>
          <v:rect style="width:0;height:1.5pt" o:hralign="center" o:hrstd="t" o:hr="t"/>
        </w:pict>
      </w:r>
    </w:p>
    <w:bookmarkEnd w:id="36"/>
    <w:bookmarkEnd w:id="37"/>
    <w:bookmarkStart w:id="4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the identified lifecycle stages, categorized by GHG Protocol scopes.</w:t>
      </w:r>
    </w:p>
    <w:bookmarkStart w:id="40" w:name="scope-3-upstream-emissions"/>
    <w:p>
      <w:pPr>
        <w:pStyle w:val="Heading3"/>
      </w:pPr>
      <w:r>
        <w:t xml:space="preserve">4.1. Scope 3 Upstream Emissions</w:t>
      </w:r>
    </w:p>
    <w:bookmarkStart w:id="38" w:name="raw-material-acquisition-processing-a1"/>
    <w:p>
      <w:pPr>
        <w:pStyle w:val="Heading4"/>
      </w:pPr>
      <w:r>
        <w:t xml:space="preserve">4.1.1. Raw Material Acquisition &amp; Processing (A1)</w:t>
      </w:r>
    </w:p>
    <w:p>
      <w:pPr>
        <w:pStyle w:val="FirstParagraph"/>
      </w:pPr>
      <w:r>
        <w:t xml:space="preserve">The total carbon from raw materials, based on the provided BOM data, is</w:t>
      </w:r>
      <w:r>
        <w:t xml:space="preserve"> </w:t>
      </w:r>
      <w:r>
        <w:rPr>
          <w:bCs/>
          <w:b/>
        </w:rPr>
        <w:t xml:space="preserve">kg CO2e</w:t>
      </w:r>
      <w:r>
        <w:t xml:space="preserve">.</w:t>
      </w:r>
    </w:p>
    <w:bookmarkEnd w:id="38"/>
    <w:bookmarkStart w:id="39" w:name="transport-to-manufacturer-a2"/>
    <w:p>
      <w:pPr>
        <w:pStyle w:val="Heading4"/>
      </w:pPr>
      <w:r>
        <w:t xml:space="preserve">4.1.2. Transport to Manufacturer (A2)</w:t>
      </w:r>
    </w:p>
    <w:p>
      <w:pPr>
        <w:numPr>
          <w:ilvl w:val="0"/>
          <w:numId w:val="1012"/>
        </w:numPr>
        <w:pStyle w:val="Compact"/>
      </w:pPr>
      <w:r>
        <w:t xml:space="preserve">Ocean Freight: (</w:t>
      </w:r>
    </w:p>
    <w:p>
      <w:pPr>
        <w:numPr>
          <w:ilvl w:val="0"/>
          <w:numId w:val="1000"/>
        </w:numPr>
        <w:pStyle w:val="Compact"/>
      </w:pPr>
      <w:r>
        <w:t xml:space="preserve">kg / 1000) *</w:t>
      </w:r>
    </w:p>
    <w:p>
      <w:pPr>
        <w:numPr>
          <w:ilvl w:val="0"/>
          <w:numId w:val="1000"/>
        </w:numPr>
        <w:pStyle w:val="Compact"/>
      </w:pPr>
      <w:r>
        <w:t xml:space="preserve">km *</w:t>
      </w:r>
    </w:p>
    <w:p>
      <w:pPr>
        <w:numPr>
          <w:ilvl w:val="0"/>
          <w:numId w:val="1000"/>
        </w:numPr>
        <w:pStyle w:val="Compact"/>
      </w:pPr>
      <w:r>
        <w:t xml:space="preserve">kg CO2e/tkm =</w:t>
      </w:r>
    </w:p>
    <w:p>
      <w:pPr>
        <w:numPr>
          <w:ilvl w:val="0"/>
          <w:numId w:val="1000"/>
        </w:numPr>
        <w:pStyle w:val="Compact"/>
      </w:pPr>
      <w:r>
        <w:t xml:space="preserve">kg CO2e</w:t>
      </w:r>
    </w:p>
    <w:p>
      <w:pPr>
        <w:numPr>
          <w:ilvl w:val="0"/>
          <w:numId w:val="1012"/>
        </w:numPr>
        <w:pStyle w:val="Compact"/>
      </w:pPr>
      <w:r>
        <w:t xml:space="preserve">Road Freight (Port to Factory): (</w:t>
      </w:r>
    </w:p>
    <w:p>
      <w:pPr>
        <w:numPr>
          <w:ilvl w:val="0"/>
          <w:numId w:val="1000"/>
        </w:numPr>
        <w:pStyle w:val="Compact"/>
      </w:pPr>
      <w:r>
        <w:t xml:space="preserve">kg / 1000) *</w:t>
      </w:r>
    </w:p>
    <w:p>
      <w:pPr>
        <w:numPr>
          <w:ilvl w:val="0"/>
          <w:numId w:val="1000"/>
        </w:numPr>
        <w:pStyle w:val="Compact"/>
      </w:pPr>
      <w:r>
        <w:t xml:space="preserve">km *</w:t>
      </w:r>
    </w:p>
    <w:p>
      <w:pPr>
        <w:numPr>
          <w:ilvl w:val="0"/>
          <w:numId w:val="1000"/>
        </w:numPr>
        <w:pStyle w:val="Compact"/>
      </w:pPr>
      <w:r>
        <w:t xml:space="preserve">kg CO2e/tkm =</w:t>
      </w:r>
    </w:p>
    <w:p>
      <w:pPr>
        <w:numPr>
          <w:ilvl w:val="0"/>
          <w:numId w:val="1000"/>
        </w:numPr>
        <w:pStyle w:val="Compact"/>
      </w:pPr>
      <w:r>
        <w:t xml:space="preserve">kg CO2e</w:t>
      </w:r>
    </w:p>
    <w:p>
      <w:pPr>
        <w:pStyle w:val="FirstParagraph"/>
      </w:pPr>
      <w:r>
        <w:rPr>
          <w:bCs/>
          <w:b/>
        </w:rPr>
        <w:t xml:space="preserve">Total Transport to Manufacturer (Scope 3 Upstream):</w:t>
      </w:r>
      <w:r>
        <w:t xml:space="preserve"> </w:t>
      </w:r>
      <w:r>
        <w:t xml:space="preserve">kg CO2e</w:t>
      </w:r>
    </w:p>
    <w:bookmarkEnd w:id="39"/>
    <w:bookmarkEnd w:id="40"/>
    <w:bookmarkStart w:id="41" w:name="X615ce415cfe7a89e3499cdee7884c06fad058a8"/>
    <w:p>
      <w:pPr>
        <w:pStyle w:val="Heading3"/>
      </w:pPr>
      <w:r>
        <w:t xml:space="preserve">4.2. Scope 2 Emissions (A3 - Manufacturing Energy)</w:t>
      </w:r>
    </w:p>
    <w:p>
      <w:pPr>
        <w:numPr>
          <w:ilvl w:val="0"/>
          <w:numId w:val="1013"/>
        </w:numPr>
        <w:pStyle w:val="Compact"/>
      </w:pPr>
      <w:r>
        <w:t xml:space="preserve">Total Production Energy:</w:t>
      </w:r>
    </w:p>
    <w:p>
      <w:pPr>
        <w:numPr>
          <w:ilvl w:val="0"/>
          <w:numId w:val="1000"/>
        </w:numPr>
        <w:pStyle w:val="Compact"/>
      </w:pPr>
      <w:r>
        <w:t xml:space="preserve">kWh/unit</w:t>
      </w:r>
    </w:p>
    <w:p>
      <w:pPr>
        <w:numPr>
          <w:ilvl w:val="0"/>
          <w:numId w:val="1013"/>
        </w:numPr>
        <w:pStyle w:val="Compact"/>
      </w:pPr>
      <w:r>
        <w:t xml:space="preserve">Non-Renewable Energy Portion:</w:t>
      </w:r>
    </w:p>
    <w:p>
      <w:pPr>
        <w:numPr>
          <w:ilvl w:val="0"/>
          <w:numId w:val="1000"/>
        </w:numPr>
        <w:pStyle w:val="Compact"/>
      </w:pPr>
      <w:r>
        <w:t xml:space="preserve">kWh/unit (</w:t>
      </w:r>
    </w:p>
    <w:p>
      <w:pPr>
        <w:numPr>
          <w:ilvl w:val="0"/>
          <w:numId w:val="1000"/>
        </w:numPr>
        <w:pStyle w:val="Compact"/>
      </w:pPr>
      <w:r>
        <w:t xml:space="preserve">%)</w:t>
      </w:r>
    </w:p>
    <w:p>
      <w:pPr>
        <w:numPr>
          <w:ilvl w:val="0"/>
          <w:numId w:val="1013"/>
        </w:numPr>
        <w:pStyle w:val="Compact"/>
      </w:pPr>
      <w:r>
        <w:t xml:space="preserve">Emission Factor (China Grid, 2023):</w:t>
      </w:r>
    </w:p>
    <w:p>
      <w:pPr>
        <w:numPr>
          <w:ilvl w:val="0"/>
          <w:numId w:val="1000"/>
        </w:numPr>
        <w:pStyle w:val="Compact"/>
      </w:pPr>
      <w:r>
        <w:t xml:space="preserve">kg CO2e/kWh</w:t>
      </w:r>
    </w:p>
    <w:p>
      <w:pPr>
        <w:pStyle w:val="FirstParagraph"/>
      </w:pPr>
      <w:r>
        <w:rPr>
          <w:bCs/>
          <w:b/>
        </w:rPr>
        <w:t xml:space="preserve">Total Manufacturing Energy (Scope 2):</w:t>
      </w:r>
      <w:r>
        <w:t xml:space="preserve"> </w:t>
      </w:r>
      <w:r>
        <w:t xml:space="preserve">kg CO2e</w:t>
      </w:r>
    </w:p>
    <w:bookmarkEnd w:id="41"/>
    <w:bookmarkStart w:id="46" w:name="scope-3-downstream-emissions"/>
    <w:p>
      <w:pPr>
        <w:pStyle w:val="Heading3"/>
      </w:pPr>
      <w:r>
        <w:t xml:space="preserve">4.3. Scope 3 Downstream Emissions</w:t>
      </w:r>
    </w:p>
    <w:bookmarkStart w:id="42" w:name="transport-to-distribution-a4"/>
    <w:p>
      <w:pPr>
        <w:pStyle w:val="Heading4"/>
      </w:pPr>
      <w:r>
        <w:t xml:space="preserve">4.3.1. Transport to Distribution (A4)</w:t>
      </w:r>
    </w:p>
    <w:p>
      <w:pPr>
        <w:pStyle w:val="FirstParagraph"/>
      </w:pPr>
      <w:r>
        <w:t xml:space="preserve">Assuming similar transport logistics for outbound finished product to initial distribution hubs:</w:t>
      </w:r>
    </w:p>
    <w:p>
      <w:pPr>
        <w:pStyle w:val="BodyText"/>
      </w:pPr>
      <w:r>
        <w:rPr>
          <w:bCs/>
          <w:b/>
        </w:rPr>
        <w:t xml:space="preserve">Total Transport to Distribution (Scope 3 Downstream):</w:t>
      </w:r>
      <w:r>
        <w:t xml:space="preserve"> </w:t>
      </w:r>
      <w:r>
        <w:t xml:space="preserve">kg CO2e</w:t>
      </w:r>
    </w:p>
    <w:bookmarkEnd w:id="42"/>
    <w:bookmarkStart w:id="43" w:name="last-mile-delivery-a5"/>
    <w:p>
      <w:pPr>
        <w:pStyle w:val="Heading4"/>
      </w:pPr>
      <w:r>
        <w:t xml:space="preserve">4.3.2. Last-Mile Delivery (A5)</w:t>
      </w:r>
    </w:p>
    <w:p>
      <w:pPr>
        <w:numPr>
          <w:ilvl w:val="0"/>
          <w:numId w:val="1014"/>
        </w:numPr>
        <w:pStyle w:val="Compact"/>
      </w:pPr>
      <w:r>
        <w:t xml:space="preserve">Last-Mile Delivery Distance:</w:t>
      </w:r>
    </w:p>
    <w:p>
      <w:pPr>
        <w:numPr>
          <w:ilvl w:val="0"/>
          <w:numId w:val="1000"/>
        </w:numPr>
        <w:pStyle w:val="Compact"/>
      </w:pPr>
      <w:r>
        <w:t xml:space="preserve">km (illustrative)</w:t>
      </w:r>
    </w:p>
    <w:p>
      <w:pPr>
        <w:numPr>
          <w:ilvl w:val="0"/>
          <w:numId w:val="1014"/>
        </w:numPr>
        <w:pStyle w:val="Compact"/>
      </w:pPr>
      <w:r>
        <w:t xml:space="preserve">Electric Van Emission Factor:</w:t>
      </w:r>
    </w:p>
    <w:p>
      <w:pPr>
        <w:numPr>
          <w:ilvl w:val="0"/>
          <w:numId w:val="1000"/>
        </w:numPr>
        <w:pStyle w:val="Compact"/>
      </w:pPr>
      <w:r>
        <w:t xml:space="preserve">kg CO2e/km (illustrative)</w:t>
      </w:r>
    </w:p>
    <w:p>
      <w:pPr>
        <w:pStyle w:val="FirstParagraph"/>
      </w:pPr>
      <w:r>
        <w:rPr>
          <w:bCs/>
          <w:b/>
        </w:rPr>
        <w:t xml:space="preserve">Total Last-Mile Delivery (Scope 3 Downstream):</w:t>
      </w:r>
      <w:r>
        <w:t xml:space="preserve"> </w:t>
      </w:r>
      <w:r>
        <w:t xml:space="preserve">kg CO2e</w:t>
      </w:r>
    </w:p>
    <w:bookmarkEnd w:id="43"/>
    <w:bookmarkStart w:id="44" w:name="use-phase-b"/>
    <w:p>
      <w:pPr>
        <w:pStyle w:val="Heading4"/>
      </w:pPr>
      <w:r>
        <w:t xml:space="preserve">4.3.3. Use Phase (B)</w:t>
      </w:r>
    </w:p>
    <w:p>
      <w:pPr>
        <w:numPr>
          <w:ilvl w:val="0"/>
          <w:numId w:val="1015"/>
        </w:numPr>
        <w:pStyle w:val="Compact"/>
      </w:pPr>
      <w:r>
        <w:t xml:space="preserve">Total Energy Consumption Over Lifespan:</w:t>
      </w:r>
    </w:p>
    <w:p>
      <w:pPr>
        <w:numPr>
          <w:ilvl w:val="0"/>
          <w:numId w:val="1000"/>
        </w:numPr>
        <w:pStyle w:val="Compact"/>
      </w:pPr>
      <w:r>
        <w:t xml:space="preserve">kWh</w:t>
      </w:r>
    </w:p>
    <w:p>
      <w:pPr>
        <w:numPr>
          <w:ilvl w:val="0"/>
          <w:numId w:val="1015"/>
        </w:numPr>
        <w:pStyle w:val="Compact"/>
      </w:pPr>
      <w:r>
        <w:t xml:space="preserve">Assumed User\'s Grid Emission Factor:</w:t>
      </w:r>
    </w:p>
    <w:p>
      <w:pPr>
        <w:numPr>
          <w:ilvl w:val="0"/>
          <w:numId w:val="1000"/>
        </w:numPr>
        <w:pStyle w:val="Compact"/>
      </w:pPr>
      <w:r>
        <w:t xml:space="preserve">kg CO2e/kWh</w:t>
      </w:r>
    </w:p>
    <w:p>
      <w:pPr>
        <w:pStyle w:val="FirstParagraph"/>
      </w:pPr>
      <w:r>
        <w:rPr>
          <w:bCs/>
          <w:b/>
        </w:rPr>
        <w:t xml:space="preserve">Total Use Phase Emissions (Scope 3 Downstream):</w:t>
      </w:r>
      <w:r>
        <w:t xml:space="preserve"> </w:t>
      </w:r>
      <w:r>
        <w:t xml:space="preserve">kg CO2e</w:t>
      </w:r>
    </w:p>
    <w:bookmarkEnd w:id="44"/>
    <w:bookmarkStart w:id="45" w:name="end-of-life-c"/>
    <w:p>
      <w:pPr>
        <w:pStyle w:val="Heading4"/>
      </w:pPr>
      <w:r>
        <w:t xml:space="preserve">4.3.4. End-of-Life (C)</w:t>
      </w:r>
    </w:p>
    <w:p>
      <w:pPr>
        <w:numPr>
          <w:ilvl w:val="0"/>
          <w:numId w:val="1016"/>
        </w:numPr>
        <w:pStyle w:val="Compact"/>
      </w:pPr>
      <w:r>
        <w:t xml:space="preserve">Total Material Weight for EoL:</w:t>
      </w:r>
    </w:p>
    <w:p>
      <w:pPr>
        <w:numPr>
          <w:ilvl w:val="0"/>
          <w:numId w:val="1000"/>
        </w:numPr>
        <w:pStyle w:val="Compact"/>
      </w:pPr>
      <w:r>
        <w:t xml:space="preserve">kg</w:t>
      </w:r>
    </w:p>
    <w:p>
      <w:pPr>
        <w:numPr>
          <w:ilvl w:val="0"/>
          <w:numId w:val="1016"/>
        </w:numPr>
        <w:pStyle w:val="Compact"/>
      </w:pPr>
      <w:r>
        <w:t xml:space="preserve">Recyclability Percentage:</w:t>
      </w:r>
    </w:p>
    <w:p>
      <w:pPr>
        <w:numPr>
          <w:ilvl w:val="0"/>
          <w:numId w:val="1000"/>
        </w:numPr>
        <w:pStyle w:val="Compact"/>
      </w:pPr>
      <w:r>
        <w:t xml:space="preserve">%</w:t>
      </w:r>
    </w:p>
    <w:p>
      <w:pPr>
        <w:numPr>
          <w:ilvl w:val="0"/>
          <w:numId w:val="1016"/>
        </w:numPr>
        <w:pStyle w:val="Compact"/>
      </w:pPr>
      <w:r>
        <w:t xml:space="preserve">Recycled Material Weight:</w:t>
      </w:r>
    </w:p>
    <w:p>
      <w:pPr>
        <w:numPr>
          <w:ilvl w:val="0"/>
          <w:numId w:val="1000"/>
        </w:numPr>
        <w:pStyle w:val="Compact"/>
      </w:pPr>
      <w:r>
        <w:t xml:space="preserve">kg</w:t>
      </w:r>
    </w:p>
    <w:p>
      <w:pPr>
        <w:numPr>
          <w:ilvl w:val="0"/>
          <w:numId w:val="1016"/>
        </w:numPr>
        <w:pStyle w:val="Compact"/>
      </w:pPr>
      <w:r>
        <w:t xml:space="preserve">Avoided Emissions from Recycling:</w:t>
      </w:r>
    </w:p>
    <w:p>
      <w:pPr>
        <w:numPr>
          <w:ilvl w:val="0"/>
          <w:numId w:val="1000"/>
        </w:numPr>
        <w:pStyle w:val="Compact"/>
      </w:pPr>
      <w:r>
        <w:t xml:space="preserve">kg CO2e (credit)</w:t>
      </w:r>
    </w:p>
    <w:p>
      <w:pPr>
        <w:numPr>
          <w:ilvl w:val="0"/>
          <w:numId w:val="1016"/>
        </w:numPr>
        <w:pStyle w:val="Compact"/>
      </w:pPr>
      <w:r>
        <w:rPr>
          <w:bCs/>
          <w:b/>
        </w:rPr>
        <w:t xml:space="preserve">Circular/Take-back Programs:</w:t>
      </w:r>
      <w:r>
        <w:t xml:space="preserve"> </w:t>
      </w:r>
      <w:r>
        <w:t xml:space="preserve">The "Product Take-back Program in EU" (placeholder for `rlrvekzvey`) contributes to reducing EoL impacts by facilitating higher recycling rates and material reuse, extending product lifecycles beyond standard EoL scenarios. The avoided emissions shown above partially reflect the benefit of such programs.</w:t>
      </w:r>
    </w:p>
    <w:p>
      <w:pPr>
        <w:pStyle w:val="FirstParagraph"/>
      </w:pPr>
      <w:r>
        <w:rPr>
          <w:bCs/>
          <w:b/>
        </w:rPr>
        <w:t xml:space="preserve">Net End-of-Life Emissions/Credits (Scope 3 Downstream):</w:t>
      </w:r>
      <w:r>
        <w:t xml:space="preserve"> </w:t>
      </w:r>
      <w:r>
        <w:t xml:space="preserve">- kg CO2e (credit)</w:t>
      </w:r>
    </w:p>
    <w:bookmarkEnd w:id="45"/>
    <w:bookmarkEnd w:id="46"/>
    <w:bookmarkStart w:id="47"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pPr>
          </w:p>
        </w:tc>
      </w:tr>
      <w:tr>
        <w:tc>
          <w:tcPr/>
          <w:p>
            <w:pPr>
              <w:pStyle w:val="Compact"/>
              <w:jc w:val="left"/>
            </w:pPr>
            <w:r>
              <w:t xml:space="preserve">Transport to Manufacturer</w:t>
            </w:r>
          </w:p>
        </w:tc>
        <w:tc>
          <w:tcPr/>
          <w:p>
            <w:pPr>
              <w:pStyle w:val="Compact"/>
              <w:jc w:val="left"/>
            </w:pPr>
            <w:r>
              <w:t xml:space="preserve">Scope 3 (Upstream)</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pPr>
          </w:p>
        </w:tc>
      </w:tr>
      <w:tr>
        <w:tc>
          <w:tcPr/>
          <w:p>
            <w:pPr>
              <w:pStyle w:val="Compact"/>
              <w:jc w:val="left"/>
            </w:pPr>
            <w:r>
              <w:t xml:space="preserve">Transport to Distribution</w:t>
            </w:r>
          </w:p>
        </w:tc>
        <w:tc>
          <w:tcPr/>
          <w:p>
            <w:pPr>
              <w:pStyle w:val="Compact"/>
              <w:jc w:val="left"/>
            </w:pPr>
            <w:r>
              <w:t xml:space="preserve">Scope 3 (Downstream)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(Credit)</w:t>
            </w:r>
          </w:p>
        </w:tc>
      </w:tr>
      <w:tr>
        <w:tc>
          <w:tcPr>
            <w:gridSpan w:val="2"/>
          </w:tcPr>
          <w:p>
            <w:pPr>
              <w:pStyle w:val="Compact"/>
              <w:jc w:val="right"/>
            </w:pPr>
            <w:r>
              <w:rPr>
                <w:bCs/>
                <w:b/>
              </w:rPr>
              <w:t xml:space="preserve">TOTAL PRODUCT CARBON FOOTPRINT</w:t>
            </w:r>
          </w:p>
        </w:tc>
        <w:tc>
          <w:tcPr/>
          <w:p>
            <w:pPr>
              <w:pStyle w:val="Compact"/>
              <w:jc w:val="left"/>
            </w:pPr>
            <w:r>
              <w:t xml:space="preserve">kg CO2e</w:t>
            </w:r>
          </w:p>
        </w:tc>
      </w:tr>
    </w:tbl>
    <w:p>
      <w:r>
        <w:pict>
          <v:rect style="width:0;height:1.5pt" o:hralign="center" o:hrstd="t" o:hr="t"/>
        </w:pict>
      </w:r>
    </w:p>
    <w:bookmarkEnd w:id="47"/>
    <w:bookmarkEnd w:id="48"/>
    <w:bookmarkStart w:id="51"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hnrmjpoirw</w:t>
      </w:r>
      <w:r>
        <w:t xml:space="preserve"> </w:t>
      </w:r>
      <w:r>
        <w:t xml:space="preserve">are:</w:t>
      </w:r>
    </w:p>
    <w:p>
      <w:pPr>
        <w:numPr>
          <w:ilvl w:val="0"/>
          <w:numId w:val="1017"/>
        </w:numPr>
        <w:pStyle w:val="Compact"/>
      </w:pPr>
      <w:r>
        <w:rPr>
          <w:bCs/>
          <w:b/>
        </w:rPr>
        <w:t xml:space="preserve">Use Phase Emissions:</w:t>
      </w:r>
      <w:r>
        <w:t xml:space="preserve"> </w:t>
      </w:r>
      <w:r>
        <w:t xml:space="preserve">The energy consumed during the product\'s 5-year lifespan contributes significantly (</w:t>
      </w:r>
    </w:p>
    <w:p>
      <w:pPr>
        <w:numPr>
          <w:ilvl w:val="0"/>
          <w:numId w:val="1000"/>
        </w:numPr>
        <w:pStyle w:val="Compact"/>
      </w:pPr>
      <w:r>
        <w:t xml:space="preserve">kg CO2e), highlighting the importance of energy-efficient design and promoting renewable energy adoption by end-users.</w:t>
      </w:r>
    </w:p>
    <w:p>
      <w:pPr>
        <w:numPr>
          <w:ilvl w:val="0"/>
          <w:numId w:val="1017"/>
        </w:numPr>
        <w:pStyle w:val="Compact"/>
      </w:pPr>
      <w:r>
        <w:rPr>
          <w:bCs/>
          <w:b/>
        </w:rPr>
        <w:t xml:space="preserve">Raw Material Acquisition:</w:t>
      </w:r>
      <w:r>
        <w:t xml:space="preserve"> </w:t>
      </w:r>
      <w:r>
        <w:t xml:space="preserve">The materials used in the Bill of Materials account for a substantial portion of upstream emissions (</w:t>
      </w:r>
    </w:p>
    <w:p>
      <w:pPr>
        <w:numPr>
          <w:ilvl w:val="0"/>
          <w:numId w:val="1000"/>
        </w:numPr>
        <w:pStyle w:val="Compact"/>
      </w:pPr>
      <w:r>
        <w:t xml:space="preserve">kg CO2e). Optimizing material selection, sourcing lower-impact materials, and increasing recycled content are key areas for reduction.</w:t>
      </w:r>
    </w:p>
    <w:p>
      <w:pPr>
        <w:numPr>
          <w:ilvl w:val="0"/>
          <w:numId w:val="1017"/>
        </w:numPr>
        <w:pStyle w:val="Compact"/>
      </w:pPr>
      <w:r>
        <w:rPr>
          <w:bCs/>
          <w:b/>
        </w:rPr>
        <w:t xml:space="preserve">Manufacturing Energy (Scope 2):</w:t>
      </w:r>
      <w:r>
        <w:t xml:space="preserve"> </w:t>
      </w:r>
      <w:r>
        <w:t xml:space="preserve">While partially offset by 75% renewable energy usage, the remaining non-renewable electricity consumption in China (</w:t>
      </w:r>
    </w:p>
    <w:p>
      <w:pPr>
        <w:numPr>
          <w:ilvl w:val="0"/>
          <w:numId w:val="1000"/>
        </w:numPr>
        <w:pStyle w:val="Compact"/>
      </w:pPr>
      <w:r>
        <w:t xml:space="preserve">kg CO2e) presents an opportunity for further decarbonization through increased renewable energy procurement and on-site generation.</w:t>
      </w:r>
    </w:p>
    <w:bookmarkEnd w:id="49"/>
    <w:bookmarkStart w:id="50" w:name="data-reliability-and-limitations"/>
    <w:p>
      <w:pPr>
        <w:pStyle w:val="Heading3"/>
      </w:pPr>
      <w:r>
        <w:t xml:space="preserve">5.2. Data Reliability and Limitations</w:t>
      </w:r>
    </w:p>
    <w:p>
      <w:pPr>
        <w:numPr>
          <w:ilvl w:val="0"/>
          <w:numId w:val="1018"/>
        </w:numPr>
        <w:pStyle w:val="Compact"/>
      </w:pPr>
      <w:r>
        <w:t xml:space="preserve">The accuracy of this PCF relies heavily on the quality and specificity of input data. While efforts were made to use representative emission factors from industry standards (e.g., specific China grid factors and average transport factors), some generic placeholders were used due to the abstract nature of the provided input parameters (`Select Mode`, `enjyrxzqvh`, `Delivery Type`, `nsgdtjefew`, `qrfnuedzkl`, `sylixqngfx`, `jqikkjrhpm`, `sflqypgegn`, `rlrvekzvey`, and `imtjkekq` as a placeholder for detailed BOM). The BOM itself used pre-calculated `Total Carbon` values as instructed.</w:t>
      </w:r>
    </w:p>
    <w:p>
      <w:pPr>
        <w:numPr>
          <w:ilvl w:val="0"/>
          <w:numId w:val="1018"/>
        </w:numPr>
        <w:pStyle w:val="Compact"/>
      </w:pPr>
      <w:r>
        <w:t xml:space="preserve">Transport distances and modes are illustrative based on the placeholders provided. More precise logistics data would yield higher accuracy.</w:t>
      </w:r>
    </w:p>
    <w:p>
      <w:pPr>
        <w:numPr>
          <w:ilvl w:val="0"/>
          <w:numId w:val="1018"/>
        </w:numPr>
        <w:pStyle w:val="Compact"/>
      </w:pPr>
      <w:r>
        <w:t xml:space="preserve">The assumed avoided emissions from recycling (1.5 kg CO2e/kg) are based on a general illustrative value. Product-specific material recovery rates and actual displaced virgin material emissions would refine this credit.</w:t>
      </w:r>
    </w:p>
    <w:p>
      <w:pPr>
        <w:numPr>
          <w:ilvl w:val="0"/>
          <w:numId w:val="1018"/>
        </w:numPr>
        <w:pStyle w:val="Compact"/>
      </w:pPr>
      <w:r>
        <w:t xml:space="preserve">The qualitative nature of \'Circular/Take-back Programs\' means their full impact might not be quantitatively captured in the current emission reduction figures, though their positive contribution is acknowledged.</w:t>
      </w:r>
    </w:p>
    <w:p>
      <w:r>
        <w:pict>
          <v:rect style="width:0;height:1.5pt" o:hralign="center" o:hrstd="t" o:hr="t"/>
        </w:pict>
      </w:r>
    </w:p>
    <w:bookmarkEnd w:id="50"/>
    <w:bookmarkEnd w:id="51"/>
    <w:bookmarkStart w:id="52"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hnrmjpoirw</w:t>
      </w:r>
      <w:r>
        <w:t xml:space="preserve"> </w:t>
      </w:r>
      <w:r>
        <w:t xml:space="preserve">is estimated at</w:t>
      </w:r>
      <w:r>
        <w:t xml:space="preserve"> </w:t>
      </w:r>
      <w:r>
        <w:rPr>
          <w:bCs/>
          <w:b/>
        </w:rPr>
        <w:t xml:space="preserve">kg CO2e</w:t>
      </w:r>
      <w:r>
        <w:t xml:space="preserve"> </w:t>
      </w:r>
      <w:r>
        <w:t xml:space="preserve">per functional unit. To reduce this footprint,</w:t>
      </w:r>
      <w:r>
        <w:t xml:space="preserve"> </w:t>
      </w:r>
      <w:r>
        <w:rPr>
          <w:bCs/>
          <w:b/>
        </w:rPr>
        <w:t xml:space="preserve">ksrljqosno</w:t>
      </w:r>
      <w:r>
        <w:t xml:space="preserve"> </w:t>
      </w:r>
      <w:r>
        <w:t xml:space="preserve">should prioritize the following:</w:t>
      </w:r>
    </w:p>
    <w:p>
      <w:pPr>
        <w:numPr>
          <w:ilvl w:val="0"/>
          <w:numId w:val="1019"/>
        </w:numPr>
        <w:pStyle w:val="Compact"/>
      </w:pPr>
      <w:r>
        <w:rPr>
          <w:bCs/>
          <w:b/>
        </w:rPr>
        <w:t xml:space="preserve">Material Optimization:</w:t>
      </w:r>
      <w:r>
        <w:t xml:space="preserve"> </w:t>
      </w:r>
      <w:r>
        <w:t xml:space="preserve">Explore alternative, lower-carbon materials for the high-impact components identified in the BOM. Increase the proportion of recycled and sustainably sourced content.</w:t>
      </w:r>
    </w:p>
    <w:p>
      <w:pPr>
        <w:numPr>
          <w:ilvl w:val="0"/>
          <w:numId w:val="1019"/>
        </w:numPr>
        <w:pStyle w:val="Compact"/>
      </w:pPr>
      <w:r>
        <w:rPr>
          <w:bCs/>
          <w:b/>
        </w:rPr>
        <w:t xml:space="preserve">Energy Efficiency &amp; Renewables in Manufacturing:</w:t>
      </w:r>
      <w:r>
        <w:t xml:space="preserve"> </w:t>
      </w:r>
      <w:r>
        <w:t xml:space="preserve">Further invest in energy-efficient manufacturing processes and increase the share of renewable electricity procurement for the facility in China, beyond the current 75%.</w:t>
      </w:r>
    </w:p>
    <w:p>
      <w:pPr>
        <w:numPr>
          <w:ilvl w:val="0"/>
          <w:numId w:val="1019"/>
        </w:numPr>
        <w:pStyle w:val="Compact"/>
      </w:pPr>
      <w:r>
        <w:rPr>
          <w:bCs/>
          <w:b/>
        </w:rPr>
        <w:t xml:space="preserve">Design for Energy Efficiency in Use:</w:t>
      </w:r>
      <w:r>
        <w:t xml:space="preserve"> </w:t>
      </w:r>
      <w:r>
        <w:t xml:space="preserve">Continue to innovate product design to minimize energy consumption during the use phase, potentially through improved efficiency ratings or smart power management features.</w:t>
      </w:r>
    </w:p>
    <w:p>
      <w:pPr>
        <w:numPr>
          <w:ilvl w:val="0"/>
          <w:numId w:val="1019"/>
        </w:numPr>
        <w:pStyle w:val="Compact"/>
      </w:pPr>
      <w:r>
        <w:rPr>
          <w:bCs/>
          <w:b/>
        </w:rPr>
        <w:t xml:space="preserve">Enhance Circularity:</w:t>
      </w:r>
      <w:r>
        <w:t xml:space="preserve"> </w:t>
      </w:r>
      <w:r>
        <w:t xml:space="preserve">Strengthen and expand the existing "Product Take-back Program in EU" to maximize material recovery and reuse, reducing reliance on virgin materials and minimizing waste at end-of-life.</w:t>
      </w:r>
    </w:p>
    <w:p>
      <w:pPr>
        <w:numPr>
          <w:ilvl w:val="0"/>
          <w:numId w:val="1019"/>
        </w:numPr>
        <w:pStyle w:val="Compact"/>
      </w:pPr>
      <w:r>
        <w:rPr>
          <w:bCs/>
          <w:b/>
        </w:rPr>
        <w:t xml:space="preserve">Supply Chain Engagement:</w:t>
      </w:r>
      <w:r>
        <w:t xml:space="preserve"> </w:t>
      </w:r>
      <w:r>
        <w:t xml:space="preserve">Collaborate with suppliers to identify and implement emission reduction strategies throughout the upstream supply chain, particularly for raw material processing and inbound logistics.</w:t>
      </w:r>
    </w:p>
    <w:p>
      <w:pPr>
        <w:pStyle w:val="FirstParagraph"/>
      </w:pPr>
      <w:r>
        <w:t xml:space="preserve">Continuous monitoring and detailed data collection for each lifecycle stage will be crucial for refining this PCF and tracking progress towards decarbonization goals.</w:t>
      </w:r>
    </w:p>
    <w:p>
      <w:pPr>
        <w:pStyle w:val="BodyText"/>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hnrmjpoirw</dc:title>
  <dc:creator/>
  <dc:description>Detailed Product Carbon Footprint (PCF) analysis report for product hnrmjpoirw, adhering to GHG Protocol standards and 2026 LSR update.</dc:description>
  <cp:keywords/>
  <dcterms:created xsi:type="dcterms:W3CDTF">2026-05-30T22:13:22Z</dcterms:created>
  <dcterms:modified xsi:type="dcterms:W3CDTF">2026-05-30T22:13:22Z</dcterms:modified>
</cp:coreProperties>
</file>

<file path=docProps/custom.xml><?xml version="1.0" encoding="utf-8"?>
<Properties xmlns="http://schemas.openxmlformats.org/officeDocument/2006/custom-properties" xmlns:vt="http://schemas.openxmlformats.org/officeDocument/2006/docPropsVTypes"/>
</file>