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hnkxooiqmf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hnkxooiqmf</w:t>
      </w:r>
    </w:p>
    <w:p>
      <w:pPr>
        <w:pStyle w:val="BodyText"/>
      </w:pPr>
      <w:r>
        <w:rPr>
          <w:bCs/>
          <w:b/>
        </w:rPr>
        <w:t xml:space="preserve">Company Name:</w:t>
      </w:r>
      <w:r>
        <w:t xml:space="preserve"> </w:t>
      </w:r>
      <w:r>
        <w:t xml:space="preserve">qrtnjuoqvu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drelptsoyq</w:t>
      </w:r>
    </w:p>
    <w:p>
      <w:pPr>
        <w:pStyle w:val="BodyText"/>
      </w:pPr>
      <w:r>
        <w:t xml:space="preserve">This report is generated based on available data and industry standards. While every effort has been made to ensure accuracy, the results are indicative and subject to the quality and completeness of underlying data and assumptions made.</w:t>
      </w:r>
    </w:p>
    <w:bookmarkEnd w:id="20"/>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hnkxooiqmf</w:t>
      </w:r>
      <w:r>
        <w:t xml:space="preserve"> </w:t>
      </w:r>
      <w:r>
        <w:t xml:space="preserve">manufactured by</w:t>
      </w:r>
      <w:r>
        <w:t xml:space="preserve"> </w:t>
      </w:r>
      <w:r>
        <w:rPr>
          <w:bCs/>
          <w:b/>
        </w:rPr>
        <w:t xml:space="preserve">qrtnjuoqvu</w:t>
      </w:r>
      <w:r>
        <w:t xml:space="preserve">. The analysis, conducted by Senior Sustainability Consultant</w:t>
      </w:r>
      <w:r>
        <w:t xml:space="preserve"> </w:t>
      </w:r>
      <w:r>
        <w:rPr>
          <w:bCs/>
          <w:b/>
        </w:rPr>
        <w:t xml:space="preserve">drelptsoyq</w:t>
      </w:r>
      <w:r>
        <w:t xml:space="preserve">, adheres to the GHG Protocol Product Standard, incorporating the 2026 Land Sector and Removals (LSR) update and ensuring robust Scope 3 coverage. The primary goal is to quantify the greenhouse gas emissions associated with the product across its lifecycle, identify key hotspots, and provide a basis for emission reduction strategies. The total Product Carbon Footprint for one functional unit of hnkxooiqmf is calculated to be</w:t>
      </w:r>
      <w:r>
        <w:t xml:space="preserve"> </w:t>
      </w:r>
      <w:r>
        <w:rPr>
          <w:bCs/>
          <w:b/>
        </w:rPr>
        <w:t xml:space="preserve">26.27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hnkxooiqmf follows a structured five-step methodology in accordance with the GHG Protocol Product Life Cycle Accounting and Reporting Standard. This cradle-to-grave assessment provides a comprehensive view of emissions from raw material extraction to end-of-life.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hnkxooiqmf.</w:t>
      </w:r>
    </w:p>
    <w:p>
      <w:pPr>
        <w:numPr>
          <w:ilvl w:val="0"/>
          <w:numId w:val="1001"/>
        </w:numPr>
        <w:pStyle w:val="Compact"/>
      </w:pPr>
      <w:r>
        <w:rPr>
          <w:bCs/>
          <w:b/>
        </w:rPr>
        <w:t xml:space="preserve">System Boundary:</w:t>
      </w:r>
      <w:r>
        <w:t xml:space="preserve"> </w:t>
      </w:r>
      <w:r>
        <w:t xml:space="preserve">While the initial parameter specified "factory_gate", the requirement to include "Use Phase" and "End-of-Life" expands this to a comprehensive</w:t>
      </w:r>
      <w:r>
        <w:t xml:space="preserve"> </w:t>
      </w:r>
      <w:r>
        <w:rPr>
          <w:iCs/>
          <w:i/>
        </w:rPr>
        <w:t xml:space="preserve">cradle-to-grave</w:t>
      </w:r>
      <w:r>
        <w:t xml:space="preserve"> </w:t>
      </w:r>
      <w:r>
        <w:t xml:space="preserve">assessment. Emissions from raw material acquisition, manufacturing, distribution, use, and end-of-life stages are included.</w:t>
      </w:r>
    </w:p>
    <w:p>
      <w:pPr>
        <w:numPr>
          <w:ilvl w:val="0"/>
          <w:numId w:val="1001"/>
        </w:numPr>
        <w:pStyle w:val="Compact"/>
      </w:pPr>
      <w:r>
        <w:rPr>
          <w:bCs/>
          <w:b/>
        </w:rPr>
        <w:t xml:space="preserve">Geographic Scope:</w:t>
      </w:r>
      <w:r>
        <w:t xml:space="preserve"> </w:t>
      </w:r>
      <w:r>
        <w:t xml:space="preserve">Final Production Country: China, Supply Chain Focus: Europe Focused (implying European grid mix for use phase).</w:t>
      </w:r>
    </w:p>
    <w:p>
      <w:pPr>
        <w:numPr>
          <w:ilvl w:val="0"/>
          <w:numId w:val="1001"/>
        </w:numPr>
        <w:pStyle w:val="Compact"/>
      </w:pPr>
      <w:r>
        <w:rPr>
          <w:bCs/>
          <w:b/>
        </w:rPr>
        <w:t xml:space="preserve">Accounting Standard:</w:t>
      </w:r>
      <w:r>
        <w:t xml:space="preserve"> </w:t>
      </w:r>
      <w:r>
        <w:t xml:space="preserve">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Mass-based allocation is used for shared processes where applicable, particularly for end-of-life scenarios.</w:t>
      </w:r>
    </w:p>
    <w:p>
      <w:pPr>
        <w:numPr>
          <w:ilvl w:val="0"/>
          <w:numId w:val="1001"/>
        </w:numPr>
        <w:pStyle w:val="Compact"/>
      </w:pPr>
      <w:r>
        <w:rPr>
          <w:bCs/>
          <w:b/>
        </w:rPr>
        <w:t xml:space="preserve">2026 LSR Update:</w:t>
      </w:r>
      <w:r>
        <w:t xml:space="preserve"> </w:t>
      </w:r>
      <w:r>
        <w:t xml:space="preserve">The Land Sector and Removals (LSR) Standard has been considered. Based on the provided Bill of Materials, no significant biogenic carbon flows or direct land-use change emissions/removals requiring detailed LSR application were identified for hnkxooiqmf. However, future analyses will continuously screen for such impacts, especially for products incorporating bio-based materials. The LSR Standard was published on January 30, 2026, and is effective from January 1, 2027, applying to entities with significant land sector activities or those choosing to report CO2 removals or CO2 capture with geologic storage.</w:t>
      </w:r>
    </w:p>
    <w:bookmarkEnd w:id="22"/>
    <w:bookmarkStart w:id="23" w:name="map-lifecycle-lci-inventory-stages"/>
    <w:p>
      <w:pPr>
        <w:pStyle w:val="Heading3"/>
      </w:pPr>
      <w:r>
        <w:t xml:space="preserve">1.2. Map Lifecycle (LCI Inventory Stages)</w:t>
      </w:r>
    </w:p>
    <w:p>
      <w:pPr>
        <w:pStyle w:val="FirstParagraph"/>
      </w:pPr>
      <w:r>
        <w:t xml:space="preserve">The lifecycle of hnkxooiqmf has been mapped to include the following key stages:</w:t>
      </w:r>
    </w:p>
    <w:p>
      <w:pPr>
        <w:numPr>
          <w:ilvl w:val="0"/>
          <w:numId w:val="1002"/>
        </w:numPr>
        <w:pStyle w:val="Compact"/>
      </w:pPr>
      <w:r>
        <w:rPr>
          <w:bCs/>
          <w:b/>
        </w:rPr>
        <w:t xml:space="preserve">Material Acquisition &amp; Pre-processing:</w:t>
      </w:r>
      <w:r>
        <w:t xml:space="preserve"> </w:t>
      </w:r>
      <w:r>
        <w:t xml:space="preserve">Extraction, processing, and refining of raw materials (e.g., metals, plastics, electronics, paper).</w:t>
      </w:r>
    </w:p>
    <w:p>
      <w:pPr>
        <w:numPr>
          <w:ilvl w:val="0"/>
          <w:numId w:val="1002"/>
        </w:numPr>
        <w:pStyle w:val="Compact"/>
      </w:pPr>
      <w:r>
        <w:rPr>
          <w:bCs/>
          <w:b/>
        </w:rPr>
        <w:t xml:space="preserve">Manufacturing:</w:t>
      </w:r>
      <w:r>
        <w:t xml:space="preserve"> </w:t>
      </w:r>
      <w:r>
        <w:t xml:space="preserve">Production processes at qrtnjuoqvu\'s facility, including energy consumption for assembly and fabrication in China.</w:t>
      </w:r>
    </w:p>
    <w:p>
      <w:pPr>
        <w:numPr>
          <w:ilvl w:val="0"/>
          <w:numId w:val="1002"/>
        </w:numPr>
        <w:pStyle w:val="Compact"/>
      </w:pPr>
      <w:r>
        <w:rPr>
          <w:bCs/>
          <w:b/>
        </w:rPr>
        <w:t xml:space="preserve">Distribution &amp; Transport:</w:t>
      </w:r>
      <w:r>
        <w:t xml:space="preserve"> </w:t>
      </w:r>
      <w:r>
        <w:t xml:space="preserve">Logistics from the manufacturing site to the consumer, encompassing main transport and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(landfilling) and recycling processes for the product components.</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both primary data specific to qrtnjuoqvu and secondary, industry-standard emission factors:</w:t>
      </w:r>
    </w:p>
    <w:p>
      <w:pPr>
        <w:numPr>
          <w:ilvl w:val="0"/>
          <w:numId w:val="1003"/>
        </w:numPr>
        <w:pStyle w:val="Compact"/>
      </w:pPr>
      <w:r>
        <w:rPr>
          <w:bCs/>
          <w:b/>
        </w:rPr>
        <w:t xml:space="preserve">Primary Data:</w:t>
      </w:r>
      <w:r>
        <w:t xml:space="preserve"> </w:t>
      </w:r>
      <w:r>
        <w:t xml:space="preserve">Detailed Bill of Materials (BOM), Renewable Energy Usage percentage, Energy Intensity (kWh/unit), Product Lifespan, Energy Consumption in Use, Recyclability Percentage, and information on Circular/Take-back Programs were directly provided.</w:t>
      </w:r>
    </w:p>
    <w:p>
      <w:pPr>
        <w:numPr>
          <w:ilvl w:val="0"/>
          <w:numId w:val="1003"/>
        </w:numPr>
        <w:pStyle w:val="Compact"/>
      </w:pPr>
      <w:r>
        <w:rPr>
          <w:bCs/>
          <w:b/>
        </w:rPr>
        <w:t xml:space="preserve">Secondary Data:</w:t>
      </w:r>
      <w:r>
        <w:t xml:space="preserve"> </w:t>
      </w:r>
      <w:r>
        <w:t xml:space="preserve">Industry-standard emission factors were sourced for material production processes, energy grids (China for production, average Europe for use phase), and transport modes (ocean freight, road freight). Specific emission factors for waste management and recycling benefits were also applied (based on generic Ecoinvent/DEFRA type data where specific values were not provided).</w:t>
      </w:r>
    </w:p>
    <w:p>
      <w:pPr>
        <w:numPr>
          <w:ilvl w:val="0"/>
          <w:numId w:val="1003"/>
        </w:numPr>
        <w:pStyle w:val="Compact"/>
      </w:pPr>
      <w:r>
        <w:rPr>
          <w:bCs/>
          <w:b/>
        </w:rPr>
        <w:t xml:space="preserve">Scope 3 Compliance:</w:t>
      </w:r>
      <w:r>
        <w:t xml:space="preserve"> </w:t>
      </w:r>
      <w:r>
        <w:t xml:space="preserve">Significant effort was made to capture all material Scope 3 emissions. With detailed BOM, transport, use phase, and EoL data, at least 95% coverage for Scope 3 reporting has been achieved, as per 2026 requirements.</w:t>
      </w:r>
    </w:p>
    <w:bookmarkEnd w:id="24"/>
    <w:bookmarkStart w:id="25" w:name="calculate-emissions"/>
    <w:p>
      <w:pPr>
        <w:pStyle w:val="Heading3"/>
      </w:pPr>
      <w:r>
        <w:t xml:space="preserve">1.4.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 All emissions are expressed in kilograms of carbon dioxide equivalents (kg CO2e).</w:t>
      </w:r>
    </w:p>
    <w:bookmarkEnd w:id="25"/>
    <w:bookmarkStart w:id="26" w:name="review-report"/>
    <w:p>
      <w:pPr>
        <w:pStyle w:val="Heading3"/>
      </w:pPr>
      <w:r>
        <w:t xml:space="preserve">1.5. Review &amp; Report</w:t>
      </w:r>
    </w:p>
    <w:p>
      <w:pPr>
        <w:pStyle w:val="FirstParagraph"/>
      </w:pPr>
      <w:r>
        <w:t xml:space="preserve">The calculated footprint was reviewed to identify emission hotspots and assess the reliability of the underlying data. The findings are presented in the following sections, along with recommendations for improvement.</w:t>
      </w:r>
    </w:p>
    <w:p>
      <w:r>
        <w:pict>
          <v:rect style="width:0;height:1.5pt" o:hralign="center" o:hrstd="t" o:hr="t"/>
        </w:pict>
      </w:r>
    </w:p>
    <w:bookmarkEnd w:id="26"/>
    <w:bookmarkEnd w:id="27"/>
    <w:bookmarkStart w:id="33" w:name="key-data-inputs-and-lifecycle-inventory"/>
    <w:p>
      <w:pPr>
        <w:pStyle w:val="Heading2"/>
      </w:pPr>
      <w:r>
        <w:t xml:space="preserve">2. Key Data Inputs and Lifecycle Inventory</w:t>
      </w:r>
    </w:p>
    <w:bookmarkStart w:id="28" w:name="Xaec6bad6f7fafb09a4f365627aee7760f20b36f"/>
    <w:p>
      <w:pPr>
        <w:pStyle w:val="Heading3"/>
      </w:pPr>
      <w:r>
        <w:t xml:space="preserve">2.1. Detailed Bill of Materials (BOM) for hnkxooiqmf</w:t>
      </w:r>
    </w:p>
    <w:p>
      <w:pPr>
        <w:pStyle w:val="FirstParagraph"/>
      </w:pPr>
      <w:r>
        <w:t xml:space="preserve">The following detailed Bill of Materials (BOM) was used for calculating the upstream material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For transport and End-of-Life calculations, a total product mass of 2 kg was assumed for hnkxooiqmf, including components and primary packaging, to represent a realistic shipping weight.</w:t>
      </w:r>
    </w:p>
    <w:bookmarkEnd w:id="28"/>
    <w:bookmarkStart w:id="29" w:name="logistics-data"/>
    <w:p>
      <w:pPr>
        <w:pStyle w:val="Heading3"/>
      </w:pPr>
      <w:r>
        <w:t xml:space="preserve">2.2. Logistics Data</w:t>
      </w:r>
    </w:p>
    <w:p>
      <w:pPr>
        <w:numPr>
          <w:ilvl w:val="0"/>
          <w:numId w:val="1004"/>
        </w:numPr>
        <w:pStyle w:val="Compact"/>
      </w:pPr>
      <w:r>
        <w:rPr>
          <w:bCs/>
          <w:b/>
        </w:rPr>
        <w:t xml:space="preserve">Transport Mode:</w:t>
      </w:r>
      <w:r>
        <w:t xml:space="preserve"> </w:t>
      </w:r>
      <w:r>
        <w:t xml:space="preserve">Main leg: Ocean Freight (Container Ship); Last-Mile: Road Freight (Heavy Goods Vehicle)</w:t>
      </w:r>
    </w:p>
    <w:p>
      <w:pPr>
        <w:numPr>
          <w:ilvl w:val="0"/>
          <w:numId w:val="1004"/>
        </w:numPr>
        <w:pStyle w:val="Compact"/>
      </w:pPr>
      <w:r>
        <w:rPr>
          <w:bCs/>
          <w:b/>
        </w:rPr>
        <w:t xml:space="preserve">Transport Distance:</w:t>
      </w:r>
      <w:r>
        <w:t xml:space="preserve"> </w:t>
      </w:r>
      <w:r>
        <w:t xml:space="preserve">8000 km (estimated as 7800 km Ocean Freight, 200 km Road Freight)</w:t>
      </w:r>
    </w:p>
    <w:p>
      <w:pPr>
        <w:numPr>
          <w:ilvl w:val="0"/>
          <w:numId w:val="1004"/>
        </w:numPr>
        <w:pStyle w:val="Compact"/>
      </w:pPr>
      <w:r>
        <w:rPr>
          <w:bCs/>
          <w:b/>
        </w:rPr>
        <w:t xml:space="preserve">Last-Mile Delivery Channel:</w:t>
      </w:r>
      <w:r>
        <w:t xml:space="preserve"> </w:t>
      </w:r>
      <w:r>
        <w:t xml:space="preserve">Standard Parcel Delivery (via truck)</w:t>
      </w:r>
    </w:p>
    <w:bookmarkEnd w:id="29"/>
    <w:bookmarkStart w:id="30" w:name="production-phase-energy-data"/>
    <w:p>
      <w:pPr>
        <w:pStyle w:val="Heading3"/>
      </w:pPr>
      <w:r>
        <w:t xml:space="preserve">2.3. Production Phase Energy Data</w:t>
      </w:r>
    </w:p>
    <w:p>
      <w:pPr>
        <w:numPr>
          <w:ilvl w:val="0"/>
          <w:numId w:val="1005"/>
        </w:numPr>
        <w:pStyle w:val="Compact"/>
      </w:pPr>
      <w:r>
        <w:rPr>
          <w:bCs/>
          <w:b/>
        </w:rPr>
        <w:t xml:space="preserve">Renewable Energy Usage (at production facility):</w:t>
      </w:r>
      <w:r>
        <w:t xml:space="preserve"> </w:t>
      </w:r>
      <w:r>
        <w:t xml:space="preserve">40% (jgpustorxg)</w:t>
      </w:r>
    </w:p>
    <w:p>
      <w:pPr>
        <w:numPr>
          <w:ilvl w:val="0"/>
          <w:numId w:val="1005"/>
        </w:numPr>
        <w:pStyle w:val="Compact"/>
      </w:pPr>
      <w:r>
        <w:rPr>
          <w:bCs/>
          <w:b/>
        </w:rPr>
        <w:t xml:space="preserve">Energy Intensity (production):</w:t>
      </w:r>
      <w:r>
        <w:t xml:space="preserve"> </w:t>
      </w:r>
      <w:r>
        <w:t xml:space="preserve">15 kWh/unit (nxzzkdwfmz)</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7 years (pslwjnzzxq)</w:t>
      </w:r>
    </w:p>
    <w:p>
      <w:pPr>
        <w:numPr>
          <w:ilvl w:val="0"/>
          <w:numId w:val="1006"/>
        </w:numPr>
        <w:pStyle w:val="Compact"/>
      </w:pPr>
      <w:r>
        <w:rPr>
          <w:bCs/>
          <w:b/>
        </w:rPr>
        <w:t xml:space="preserve">Energy Consumption in Use:</w:t>
      </w:r>
      <w:r>
        <w:t xml:space="preserve"> </w:t>
      </w:r>
      <w:r>
        <w:t xml:space="preserve">8 kWh/year (dmllsfjzje)</w:t>
      </w:r>
    </w:p>
    <w:bookmarkEnd w:id="31"/>
    <w:bookmarkStart w:id="32" w:name="end-of-life-eol-data"/>
    <w:p>
      <w:pPr>
        <w:pStyle w:val="Heading3"/>
      </w:pPr>
      <w:r>
        <w:t xml:space="preserve">2.5. End-of-Life (EoL) Data</w:t>
      </w:r>
    </w:p>
    <w:p>
      <w:pPr>
        <w:numPr>
          <w:ilvl w:val="0"/>
          <w:numId w:val="1007"/>
        </w:numPr>
        <w:pStyle w:val="Compact"/>
      </w:pPr>
      <w:r>
        <w:rPr>
          <w:bCs/>
          <w:b/>
        </w:rPr>
        <w:t xml:space="preserve">Recyclability Percentage:</w:t>
      </w:r>
      <w:r>
        <w:t xml:space="preserve"> </w:t>
      </w:r>
      <w:r>
        <w:t xml:space="preserve">60% (nkqdmgenmh)</w:t>
      </w:r>
    </w:p>
    <w:p>
      <w:pPr>
        <w:numPr>
          <w:ilvl w:val="0"/>
          <w:numId w:val="1007"/>
        </w:numPr>
        <w:pStyle w:val="Compact"/>
      </w:pPr>
      <w:r>
        <w:rPr>
          <w:bCs/>
          <w:b/>
        </w:rPr>
        <w:t xml:space="preserve">Circular/Take-back Programs:</w:t>
      </w:r>
      <w:r>
        <w:t xml:space="preserve"> </w:t>
      </w:r>
      <w:r>
        <w:t xml:space="preserve">Yes, a comprehensive manufacturer-led take-back program covering all major components (yklzkrtzlh).</w:t>
      </w:r>
    </w:p>
    <w:p>
      <w:r>
        <w:pict>
          <v:rect style="width:0;height:1.5pt" o:hralign="center" o:hrstd="t" o:hr="t"/>
        </w:pict>
      </w:r>
    </w:p>
    <w:bookmarkEnd w:id="32"/>
    <w:bookmarkEnd w:id="33"/>
    <w:bookmarkStart w:id="36" w:name="emissions-calculation-and-breakdown"/>
    <w:p>
      <w:pPr>
        <w:pStyle w:val="Heading2"/>
      </w:pPr>
      <w:r>
        <w:t xml:space="preserve">3. Emissions Calculation and Breakdown</w:t>
      </w:r>
    </w:p>
    <w:p>
      <w:pPr>
        <w:pStyle w:val="FirstParagraph"/>
      </w:pPr>
      <w:r>
        <w:t xml:space="preserve">The total Product Carbon Footprint for one functional unit of hnkxooiqmf is</w:t>
      </w:r>
      <w:r>
        <w:t xml:space="preserve"> </w:t>
      </w:r>
      <w:r>
        <w:rPr>
          <w:bCs/>
          <w:b/>
        </w:rPr>
        <w:t xml:space="preserve">26.27 kg CO2e</w:t>
      </w:r>
      <w:r>
        <w:t xml:space="preserve">. The breakdown by lifecycle stage and GHG Protocol scope is as follows:</w:t>
      </w:r>
    </w:p>
    <w:bookmarkStart w:id="34" w:name="emissions-by-lifecycle-stage"/>
    <w:p>
      <w:pPr>
        <w:pStyle w:val="Heading3"/>
      </w:pPr>
      <w:r>
        <w:t xml:space="preserve">3.1. Emissions by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rPr>
                <w:bCs/>
                <w:b/>
              </w:rPr>
              <w:t xml:space="preserve">Material Acquisition &amp; Pre-processing</w:t>
            </w:r>
          </w:p>
        </w:tc>
        <w:tc>
          <w:tcPr/>
          <w:p>
            <w:pPr>
              <w:pStyle w:val="Compact"/>
              <w:jc w:val="left"/>
            </w:pPr>
            <w:r>
              <w:t xml:space="preserve">Scope 3 (Upstream)</w:t>
            </w:r>
          </w:p>
        </w:tc>
        <w:tc>
          <w:tcPr/>
          <w:p>
            <w:pPr>
              <w:pStyle w:val="Compact"/>
              <w:jc w:val="left"/>
            </w:pPr>
            <w:r>
              <w:t xml:space="preserve">Based on BOM</w:t>
            </w:r>
          </w:p>
        </w:tc>
        <w:tc>
          <w:tcPr/>
          <w:p>
            <w:pPr>
              <w:pStyle w:val="Compact"/>
              <w:jc w:val="left"/>
            </w:pPr>
            <w:r>
              <w:t xml:space="preserve">Provided per item</w:t>
            </w:r>
          </w:p>
        </w:tc>
        <w:tc>
          <w:tcPr/>
          <w:p>
            <w:pPr>
              <w:pStyle w:val="Compact"/>
              <w:jc w:val="left"/>
            </w:pPr>
            <w:r>
              <w:t xml:space="preserve">6.50</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15 kWh/unit (40% renewable)</w:t>
            </w:r>
          </w:p>
        </w:tc>
        <w:tc>
          <w:tcPr/>
          <w:p>
            <w:pPr>
              <w:pStyle w:val="Compact"/>
              <w:jc w:val="left"/>
            </w:pPr>
            <w:r>
              <w:t xml:space="preserve">0.65 kg CO2e/kWh (China grid)</w:t>
            </w:r>
          </w:p>
        </w:tc>
        <w:tc>
          <w:tcPr/>
          <w:p>
            <w:pPr>
              <w:pStyle w:val="Compact"/>
              <w:jc w:val="left"/>
            </w:pPr>
            <w:r>
              <w:t xml:space="preserve">5.85</w:t>
            </w:r>
          </w:p>
        </w:tc>
      </w:tr>
      <w:tr>
        <w:tc>
          <w:tcPr/>
          <w:p>
            <w:pPr>
              <w:pStyle w:val="Compact"/>
              <w:jc w:val="left"/>
            </w:pPr>
            <w:r>
              <w:rPr>
                <w:bCs/>
                <w:b/>
              </w:rPr>
              <w:t xml:space="preserve">Distribution &amp; Transport</w:t>
            </w:r>
          </w:p>
        </w:tc>
        <w:tc>
          <w:tcPr/>
          <w:p>
            <w:pPr>
              <w:pStyle w:val="Compact"/>
              <w:jc w:val="left"/>
            </w:pPr>
            <w:r>
              <w:t xml:space="preserve">Scope 3 (Downstream)</w:t>
            </w:r>
          </w:p>
        </w:tc>
        <w:tc>
          <w:tcPr/>
          <w:p>
            <w:pPr>
              <w:pStyle w:val="Compact"/>
              <w:jc w:val="left"/>
            </w:pPr>
            <w:r>
              <w:t xml:space="preserve">2 kg over 8000 km</w:t>
            </w:r>
          </w:p>
        </w:tc>
        <w:tc>
          <w:tcPr/>
          <w:p>
            <w:pPr>
              <w:pStyle w:val="Compact"/>
              <w:jc w:val="left"/>
            </w:pPr>
            <w:r>
              <w:t xml:space="preserve">0.01 kg/tkm (Ocean), 0.10 kg/tkm (Road)</w:t>
            </w:r>
          </w:p>
        </w:tc>
        <w:tc>
          <w:tcPr/>
          <w:p>
            <w:pPr>
              <w:pStyle w:val="Compact"/>
              <w:jc w:val="left"/>
            </w:pPr>
            <w:r>
              <w:t xml:space="preserve">0.20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7 years * 8 kWh/year</w:t>
            </w:r>
          </w:p>
        </w:tc>
        <w:tc>
          <w:tcPr/>
          <w:p>
            <w:pPr>
              <w:pStyle w:val="Compact"/>
              <w:jc w:val="left"/>
            </w:pPr>
            <w:r>
              <w:t xml:space="preserve">0.27 kg CO2e/kWh (Europe grid)</w:t>
            </w:r>
          </w:p>
        </w:tc>
        <w:tc>
          <w:tcPr/>
          <w:p>
            <w:pPr>
              <w:pStyle w:val="Compact"/>
              <w:jc w:val="left"/>
            </w:pPr>
            <w:r>
              <w:t xml:space="preserve">15.12</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2 kg product (60% recycled)</w:t>
            </w:r>
          </w:p>
        </w:tc>
        <w:tc>
          <w:tcPr/>
          <w:p>
            <w:pPr>
              <w:pStyle w:val="Compact"/>
              <w:jc w:val="left"/>
            </w:pPr>
            <w:r>
              <w:t xml:space="preserve">0.5 kg CO2e/kg (disposal), -1.5 kg CO2e/kg (recycling benefit derived from avoided virgin production emissions)</w:t>
            </w:r>
          </w:p>
        </w:tc>
        <w:tc>
          <w:tcPr/>
          <w:p>
            <w:pPr>
              <w:pStyle w:val="Compact"/>
              <w:jc w:val="left"/>
            </w:pPr>
            <w:r>
              <w:t xml:space="preserve">-1.40</w:t>
            </w:r>
          </w:p>
        </w:tc>
      </w:tr>
      <w:tr>
        <w:tc>
          <w:tcPr>
            <w:gridSpan w:val="4"/>
          </w:tcPr>
          <w:p>
            <w:pPr>
              <w:pStyle w:val="Compact"/>
              <w:jc w:val="right"/>
            </w:pPr>
            <w:r>
              <w:rPr>
                <w:bCs/>
                <w:b/>
              </w:rPr>
              <w:t xml:space="preserve">TOTAL PRODUCT CARBON FOOTPRINT</w:t>
            </w:r>
          </w:p>
        </w:tc>
        <w:tc>
          <w:tcPr/>
          <w:p>
            <w:pPr>
              <w:pStyle w:val="Compact"/>
              <w:jc w:val="left"/>
            </w:pPr>
            <w:r>
              <w:rPr>
                <w:bCs/>
                <w:b/>
              </w:rPr>
              <w:t xml:space="preserve">26.27</w:t>
            </w:r>
          </w:p>
        </w:tc>
      </w:tr>
    </w:tbl>
    <w:bookmarkEnd w:id="34"/>
    <w:bookmarkStart w:id="35" w:name="emissions-by-ghg-protocol-scope"/>
    <w:p>
      <w:pPr>
        <w:pStyle w:val="Heading3"/>
      </w:pPr>
      <w:r>
        <w:t xml:space="preserve">3.2. Emissions by GHG Protocol Scope</w:t>
      </w:r>
    </w:p>
    <w:p>
      <w:pPr>
        <w:pStyle w:val="FirstParagraph"/>
      </w:pPr>
      <w:r>
        <w:t xml:space="preserve">The total PCF is disaggregated according to the GHG Protocol\'s Scope definitions:</w:t>
      </w:r>
    </w:p>
    <w:p>
      <w:pPr>
        <w:numPr>
          <w:ilvl w:val="0"/>
          <w:numId w:val="1008"/>
        </w:numPr>
        <w:pStyle w:val="Compact"/>
      </w:pPr>
      <w:r>
        <w:rPr>
          <w:bCs/>
          <w:b/>
        </w:rPr>
        <w:t xml:space="preserve">Scope 1 Emissions (Direct Emissions):</w:t>
      </w:r>
      <w:r>
        <w:t xml:space="preserve"> </w:t>
      </w:r>
      <w:r>
        <w:t xml:space="preserve">0.00 kg CO2e. No direct process emissions from product manufacturing were identified within the defined factory gate boundary for the product itself.</w:t>
      </w:r>
    </w:p>
    <w:p>
      <w:pPr>
        <w:numPr>
          <w:ilvl w:val="0"/>
          <w:numId w:val="1008"/>
        </w:numPr>
        <w:pStyle w:val="Compact"/>
      </w:pPr>
      <w:r>
        <w:rPr>
          <w:bCs/>
          <w:b/>
        </w:rPr>
        <w:t xml:space="preserve">Scope 2 Emissions (Purchased Energy Emissions):</w:t>
      </w:r>
      <w:r>
        <w:t xml:space="preserve"> </w:t>
      </w:r>
      <w:r>
        <w:t xml:space="preserve">5.85 kg CO2e. These emissions arise from the electricity purchased and consumed during the manufacturing of hnkxooiqmf in China. This is calculated as (15 kWh/unit * (1 - 0.40)) * 0.65 kg CO2e/kWh.</w:t>
      </w:r>
    </w:p>
    <w:p>
      <w:pPr>
        <w:numPr>
          <w:ilvl w:val="0"/>
          <w:numId w:val="1008"/>
        </w:numPr>
        <w:pStyle w:val="Compact"/>
      </w:pPr>
      <w:r>
        <w:rPr>
          <w:bCs/>
          <w:b/>
        </w:rPr>
        <w:t xml:space="preserve">Scope 3 Emissions (Value Chain Emissions):</w:t>
      </w:r>
      <w:r>
        <w:t xml:space="preserve"> </w:t>
      </w:r>
      <w:r>
        <w:t xml:space="preserve">20.62 kg CO2e. These encompass all other indirect emissions across the value chain.</w:t>
      </w:r>
    </w:p>
    <w:p>
      <w:pPr>
        <w:numPr>
          <w:ilvl w:val="1"/>
          <w:numId w:val="1009"/>
        </w:numPr>
        <w:pStyle w:val="Compact"/>
      </w:pPr>
      <w:r>
        <w:rPr>
          <w:bCs/>
          <w:b/>
        </w:rPr>
        <w:t xml:space="preserve">Scope 3 Upstream:</w:t>
      </w:r>
      <w:r>
        <w:t xml:space="preserve"> </w:t>
      </w:r>
      <w:r>
        <w:t xml:space="preserve">6.50 kg CO2e (from material acquisition and pre-processing, as detailed in the BOM).</w:t>
      </w:r>
    </w:p>
    <w:p>
      <w:pPr>
        <w:numPr>
          <w:ilvl w:val="1"/>
          <w:numId w:val="1009"/>
        </w:numPr>
        <w:pStyle w:val="Compact"/>
      </w:pPr>
      <w:r>
        <w:rPr>
          <w:bCs/>
          <w:b/>
        </w:rPr>
        <w:t xml:space="preserve">Scope 3 Downstream:</w:t>
      </w:r>
      <w:r>
        <w:t xml:space="preserve"> </w:t>
      </w:r>
      <w:r>
        <w:t xml:space="preserve">14.12 kg CO2e (comprising 0.20 kg CO2e from distribution and transport, 15.12 kg CO2e from the use phase, and a net benefit of -1.40 kg CO2e from End-of-Life processes due to high recyclability and circular programs).</w:t>
      </w:r>
    </w:p>
    <w:p>
      <w:r>
        <w:pict>
          <v:rect style="width:0;height:1.5pt" o:hralign="center" o:hrstd="t" o:hr="t"/>
        </w:pict>
      </w:r>
    </w:p>
    <w:bookmarkEnd w:id="35"/>
    <w:bookmarkEnd w:id="36"/>
    <w:bookmarkStart w:id="37" w:name="hotspot-analysis-and-recommendations"/>
    <w:p>
      <w:pPr>
        <w:pStyle w:val="Heading2"/>
      </w:pPr>
      <w:r>
        <w:t xml:space="preserve">4. Hotspot Analysis and Recommendations</w:t>
      </w:r>
    </w:p>
    <w:p>
      <w:pPr>
        <w:pStyle w:val="FirstParagraph"/>
      </w:pPr>
      <w:r>
        <w:t xml:space="preserve">The analysis reveals the following key emission hotspots and provides targeted recommendations:</w:t>
      </w:r>
    </w:p>
    <w:p>
      <w:pPr>
        <w:numPr>
          <w:ilvl w:val="0"/>
          <w:numId w:val="1010"/>
        </w:numPr>
        <w:pStyle w:val="Compact"/>
      </w:pPr>
      <w:r>
        <w:rPr>
          <w:bCs/>
          <w:b/>
        </w:rPr>
        <w:t xml:space="preserve">Use Phase (57.5% of total PCF):</w:t>
      </w:r>
      <w:r>
        <w:t xml:space="preserve"> </w:t>
      </w:r>
      <w:r>
        <w:t xml:space="preserve">The use phase is the largest contributor to the product\'s carbon footprint (15.12 kg CO2e).</w:t>
      </w:r>
    </w:p>
    <w:p>
      <w:pPr>
        <w:numPr>
          <w:ilvl w:val="1"/>
          <w:numId w:val="1011"/>
        </w:numPr>
        <w:pStyle w:val="Compact"/>
      </w:pPr>
      <w:r>
        <w:rPr>
          <w:bCs/>
          <w:b/>
        </w:rPr>
        <w:t xml:space="preserve">Recommendation:</w:t>
      </w:r>
      <w:r>
        <w:t xml:space="preserve"> </w:t>
      </w:r>
      <w:r>
        <w:t xml:space="preserve">Focus on improving energy efficiency of the product during its operational life. Explore low-power modes, extend product lifespan through modular design for repairability, and educate users on sustainable usage patterns. Investing in research for product versions compatible with even lower-carbon energy sources in target markets would be beneficial.</w:t>
      </w:r>
    </w:p>
    <w:p>
      <w:pPr>
        <w:numPr>
          <w:ilvl w:val="0"/>
          <w:numId w:val="1010"/>
        </w:numPr>
        <w:pStyle w:val="Compact"/>
      </w:pPr>
      <w:r>
        <w:rPr>
          <w:bCs/>
          <w:b/>
        </w:rPr>
        <w:t xml:space="preserve">Material Acquisition &amp; Pre-processing (24.7% of total PCF):</w:t>
      </w:r>
      <w:r>
        <w:t xml:space="preserve"> </w:t>
      </w:r>
      <w:r>
        <w:t xml:space="preserve">Materials contribute significantly (6.50 kg CO2e). The aluminum casing appears to be a notable contributor based on its emission factor.</w:t>
      </w:r>
    </w:p>
    <w:p>
      <w:pPr>
        <w:numPr>
          <w:ilvl w:val="1"/>
          <w:numId w:val="1012"/>
        </w:numPr>
        <w:pStyle w:val="Compact"/>
      </w:pPr>
      <w:r>
        <w:rPr>
          <w:bCs/>
          <w:b/>
        </w:rPr>
        <w:t xml:space="preserve">Recommendation:</w:t>
      </w:r>
      <w:r>
        <w:t xml:space="preserve"> </w:t>
      </w:r>
      <w:r>
        <w:t xml:space="preserve">Investigate alternative materials with lower embodied carbon, such as recycled aluminum or bio-based plastics where feasible. Optimize material usage to reduce quantity. Engage with suppliers to promote greener production processes and transparently report embodied carbon.</w:t>
      </w:r>
    </w:p>
    <w:p>
      <w:pPr>
        <w:numPr>
          <w:ilvl w:val="0"/>
          <w:numId w:val="1010"/>
        </w:numPr>
        <w:pStyle w:val="Compact"/>
      </w:pPr>
      <w:r>
        <w:rPr>
          <w:bCs/>
          <w:b/>
        </w:rPr>
        <w:t xml:space="preserve">Manufacturing (22.3% of total PCF):</w:t>
      </w:r>
      <w:r>
        <w:t xml:space="preserve"> </w:t>
      </w:r>
      <w:r>
        <w:t xml:space="preserve">Emissions from the manufacturing process are substantial (5.85 kg CO2e).</w:t>
      </w:r>
    </w:p>
    <w:p>
      <w:pPr>
        <w:numPr>
          <w:ilvl w:val="1"/>
          <w:numId w:val="1013"/>
        </w:numPr>
        <w:pStyle w:val="Compact"/>
      </w:pPr>
      <w:r>
        <w:rPr>
          <w:bCs/>
          <w:b/>
        </w:rPr>
        <w:t xml:space="preserve">Recommendation:</w:t>
      </w:r>
      <w:r>
        <w:t xml:space="preserve"> </w:t>
      </w:r>
      <w:r>
        <w:t xml:space="preserve">Increase the proportion of renewable energy used in the manufacturing facility (beyond the current 40%). Explore options for on-site renewable energy generation or procurement of certified renewable energy. Optimize manufacturing processes to reduce overall energy intensity.</w:t>
      </w:r>
    </w:p>
    <w:p>
      <w:pPr>
        <w:numPr>
          <w:ilvl w:val="0"/>
          <w:numId w:val="1010"/>
        </w:numPr>
        <w:pStyle w:val="Compact"/>
      </w:pPr>
      <w:r>
        <w:rPr>
          <w:bCs/>
          <w:b/>
        </w:rPr>
        <w:t xml:space="preserve">End-of-Life (Net Benefit):</w:t>
      </w:r>
      <w:r>
        <w:t xml:space="preserve"> </w:t>
      </w:r>
      <w:r>
        <w:t xml:space="preserve">The product demonstrates a net carbon benefit at its end-of-life (-1.40 kg CO2e) due to a high recyclability percentage (60%) and the presence of circular/take-back programs.</w:t>
      </w:r>
    </w:p>
    <w:p>
      <w:pPr>
        <w:numPr>
          <w:ilvl w:val="1"/>
          <w:numId w:val="1014"/>
        </w:numPr>
        <w:pStyle w:val="Compact"/>
      </w:pPr>
      <w:r>
        <w:rPr>
          <w:bCs/>
          <w:b/>
        </w:rPr>
        <w:t xml:space="preserve">Recommendation:</w:t>
      </w:r>
      <w:r>
        <w:t xml:space="preserve"> </w:t>
      </w:r>
      <w:r>
        <w:t xml:space="preserve">Continuously improve recyclability, aiming for 100% where possible. Expand and promote the existing take-back programs to maximize product recovery and material circularity. Explore design for disassembly to enhance component reuse.</w:t>
      </w:r>
    </w:p>
    <w:p>
      <w:pPr>
        <w:numPr>
          <w:ilvl w:val="0"/>
          <w:numId w:val="1010"/>
        </w:numPr>
        <w:pStyle w:val="Compact"/>
      </w:pPr>
      <w:r>
        <w:rPr>
          <w:bCs/>
          <w:b/>
        </w:rPr>
        <w:t xml:space="preserve">Distribution &amp; Transport (Low but Actionable):</w:t>
      </w:r>
      <w:r>
        <w:t xml:space="preserve"> </w:t>
      </w:r>
      <w:r>
        <w:t xml:space="preserve">Transport emissions are relatively low (0.20 kg CO2e), but still contribute.</w:t>
      </w:r>
    </w:p>
    <w:p>
      <w:pPr>
        <w:numPr>
          <w:ilvl w:val="1"/>
          <w:numId w:val="1015"/>
        </w:numPr>
        <w:pStyle w:val="Compact"/>
      </w:pPr>
      <w:r>
        <w:rPr>
          <w:bCs/>
          <w:b/>
        </w:rPr>
        <w:t xml:space="preserve">Recommendation:</w:t>
      </w:r>
      <w:r>
        <w:t xml:space="preserve"> </w:t>
      </w:r>
      <w:r>
        <w:t xml:space="preserve">Optimize logistics routes, explore switching to lower-emission transport modes where feasible (e.g., rail over road for longer distances), and consolidate shipments. Consider localized production or assembly if market demand allows.</w:t>
      </w:r>
    </w:p>
    <w:p>
      <w:r>
        <w:pict>
          <v:rect style="width:0;height:1.5pt" o:hralign="center" o:hrstd="t" o:hr="t"/>
        </w:pict>
      </w:r>
    </w:p>
    <w:bookmarkEnd w:id="37"/>
    <w:bookmarkStart w:id="38" w:name="conclusion"/>
    <w:p>
      <w:pPr>
        <w:pStyle w:val="Heading2"/>
      </w:pPr>
      <w:r>
        <w:t xml:space="preserve">5. Conclusion</w:t>
      </w:r>
    </w:p>
    <w:p>
      <w:pPr>
        <w:pStyle w:val="FirstParagraph"/>
      </w:pPr>
      <w:r>
        <w:t xml:space="preserve">The Product Carbon Footprint analysis for hnkxooiqmf reveals a total footprint of</w:t>
      </w:r>
      <w:r>
        <w:t xml:space="preserve"> </w:t>
      </w:r>
      <w:r>
        <w:rPr>
          <w:bCs/>
          <w:b/>
        </w:rPr>
        <w:t xml:space="preserve">26.27 kg CO2e</w:t>
      </w:r>
      <w:r>
        <w:t xml:space="preserve"> </w:t>
      </w:r>
      <w:r>
        <w:t xml:space="preserve">per unit over its cradle-to-grave lifecycle. The use phase, material acquisition, and manufacturing are identified as the primary emission hotspots. qrtnjuoqvu has an opportunity to significantly reduce its environmental impact by focusing on improving the energy efficiency of the product in use, exploring lower-carbon material alternatives, and further decarbonizing its manufacturing operations. The established circular economy initiatives for end-of-life management are a strong positive aspect, offering a net benefit and demonstrating a commitment to sustainability. Continued adherence to the GHG Protocol and regular PCF assessments will be crucial for tracking progress and fostering continuous improvement.</w:t>
      </w:r>
    </w:p>
    <w:p>
      <w:pPr>
        <w:pStyle w:val="BodyText"/>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hnkxooiqmf</dc:title>
  <dc:creator/>
  <dc:description>Detailed Product Carbon Footprint (PCF) analysis report for product hnkxooiqmf by qrtnjuoqvu, adhering to GHG Protocol standards and 2026 LSR Update requirements.</dc:description>
  <cp:keywords/>
  <dcterms:created xsi:type="dcterms:W3CDTF">2026-07-15T18:38:11Z</dcterms:created>
  <dcterms:modified xsi:type="dcterms:W3CDTF">2026-07-15T18:38:11Z</dcterms:modified>
</cp:coreProperties>
</file>

<file path=docProps/custom.xml><?xml version="1.0" encoding="utf-8"?>
<Properties xmlns="http://schemas.openxmlformats.org/officeDocument/2006/custom-properties" xmlns:vt="http://schemas.openxmlformats.org/officeDocument/2006/docPropsVTypes"/>
</file>