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hnkrlnyxms</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hnkrlnyxms</w:t>
      </w:r>
    </w:p>
    <w:p>
      <w:pPr>
        <w:pStyle w:val="BodyText"/>
      </w:pPr>
      <w:r>
        <w:rPr>
          <w:bCs/>
          <w:b/>
        </w:rPr>
        <w:t xml:space="preserve">Company:</w:t>
      </w:r>
      <w:r>
        <w:t xml:space="preserve"> </w:t>
      </w:r>
      <w:r>
        <w:t xml:space="preserve">dzemlifieq</w:t>
      </w:r>
    </w:p>
    <w:p>
      <w:pPr>
        <w:pStyle w:val="BodyText"/>
      </w:pPr>
      <w:r>
        <w:rPr>
          <w:bCs/>
          <w:b/>
        </w:rPr>
        <w:t xml:space="preserve">Senior Sustainability Consultant:</w:t>
      </w:r>
      <w:r>
        <w:t xml:space="preserve"> </w:t>
      </w:r>
      <w:r>
        <w:t xml:space="preserve">psxzpslwmj</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results are indicative and subject to the quality and completeness of the input parameters and emission factors used.</w:t>
      </w:r>
    </w:p>
    <w:bookmarkEnd w:id="20"/>
    <w:bookmarkStart w:id="43"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hnkrlnyxms, manufactured by dzemlifieq. The assessment, conducted by Senior Sustainability Consultant psxzpslwmj, adheres to the GHG Protocol accounting standard, incorporating the 2026 Land Sector and Removals (LSR) update and ensuring comprehensive Scope 3 coverage. The analysis covers the product\'s lifecycle from raw material acquisition through manufacturing, transport, use phase, and end-of-life. The total carbon footprint for one functional unit of hnkrlnyxms has been calculated to identify key emission hotspots and provide a foundation for targeted reduction strategies.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This PCF study for hnkrlnyxms is defined by the following parameters:</w:t>
      </w:r>
    </w:p>
    <w:p>
      <w:pPr>
        <w:numPr>
          <w:ilvl w:val="0"/>
          <w:numId w:val="1001"/>
        </w:numPr>
        <w:pStyle w:val="Compact"/>
      </w:pPr>
      <w:r>
        <w:rPr>
          <w:bCs/>
          <w:b/>
        </w:rPr>
        <w:t xml:space="preserve">Functional Unit:</w:t>
      </w:r>
      <w:r>
        <w:t xml:space="preserve"> </w:t>
      </w:r>
      <w:r>
        <w:t xml:space="preserve">1.0 unit of hnkrlnyxms. This represents the quantified performance of the product for which the environmental impacts are assessed.</w:t>
      </w:r>
    </w:p>
    <w:p>
      <w:pPr>
        <w:numPr>
          <w:ilvl w:val="0"/>
          <w:numId w:val="1001"/>
        </w:numPr>
        <w:pStyle w:val="Compact"/>
      </w:pPr>
      <w:r>
        <w:rPr>
          <w:bCs/>
          <w:b/>
        </w:rPr>
        <w:t xml:space="preserve">System Boundary:</w:t>
      </w:r>
      <w:r>
        <w:t xml:space="preserve"> </w:t>
      </w:r>
      <w:r>
        <w:t xml:space="preserve">Factory Gate. This "Cradle-to-Gate" boundary primarily focuses on emissions up to the point the product leaves the manufacturing facility. However, for a comprehensive PCF, and as per the GHG Protocol\'s emphasis on value chain emissions, the scope has been extended to include downstream transport, use phase, and end-of-life, effectively providing a "Cradle-to-Grave" analysis for the product\'s entire lifecycle.</w:t>
      </w:r>
    </w:p>
    <w:p>
      <w:pPr>
        <w:numPr>
          <w:ilvl w:val="0"/>
          <w:numId w:val="1001"/>
        </w:numPr>
        <w:pStyle w:val="Compact"/>
      </w:pPr>
      <w:r>
        <w:rPr>
          <w:bCs/>
          <w:b/>
        </w:rPr>
        <w:t xml:space="preserve">Geographic Scope:</w:t>
      </w:r>
      <w:r>
        <w:t xml:space="preserve"> </w:t>
      </w:r>
      <w:r>
        <w:t xml:space="preserve">Final Production Country: China, with a Supply Chain Focus on Europe for key material inputs and final market distribution.</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Scope 2 (purchased energy emissions), and Scope 3 (all other indirect value chain emissions).</w:t>
      </w:r>
    </w:p>
    <w:p>
      <w:pPr>
        <w:numPr>
          <w:ilvl w:val="0"/>
          <w:numId w:val="1001"/>
        </w:numPr>
        <w:pStyle w:val="Compact"/>
      </w:pPr>
      <w:r>
        <w:rPr>
          <w:bCs/>
          <w:b/>
        </w:rPr>
        <w:t xml:space="preserve">Allocation:</w:t>
      </w:r>
      <w:r>
        <w:t xml:space="preserve"> </w:t>
      </w:r>
      <w:r>
        <w:t xml:space="preserve">Given that the study focuses on a single product (hnkrlnyxms) and its associated lifecycle, no complex allocation procedures between co-products are required at the product level. Upstream supply chain data, where necessary, assumes a mass or economic allocation from suppliers\' broader operations.</w:t>
      </w:r>
    </w:p>
    <w:p>
      <w:r>
        <w:pict>
          <v:rect style="width:0;height:1.5pt" o:hralign="center" o:hrstd="t" o:hr="t"/>
        </w:pict>
      </w:r>
    </w:p>
    <w:bookmarkEnd w:id="22"/>
    <w:bookmarkStart w:id="28" w:name="lifecycle-mapping-3.-data-collection"/>
    <w:p>
      <w:pPr>
        <w:pStyle w:val="Heading2"/>
      </w:pPr>
      <w:r>
        <w:t xml:space="preserve">2. Lifecycle Mapping &amp; 3. Data Collection</w:t>
      </w:r>
    </w:p>
    <w:p>
      <w:pPr>
        <w:pStyle w:val="FirstParagraph"/>
      </w:pPr>
      <w:r>
        <w:t xml:space="preserve">The lifecycle of hnkrlnyxms has been mapped across five key stages, and data has been collected from both primary and secondary sources.</w:t>
      </w:r>
    </w:p>
    <w:bookmarkStart w:id="23" w:name="Xc12f4c3638a04f12363a350e697c134d61e2930"/>
    <w:p>
      <w:pPr>
        <w:pStyle w:val="Heading3"/>
      </w:pPr>
      <w:r>
        <w:t xml:space="preserve">Detailed Bill of Materials (BOM) - fgzdxhhz</w:t>
      </w:r>
    </w:p>
    <w:p>
      <w:pPr>
        <w:pStyle w:val="FirstParagraph"/>
      </w:pPr>
      <w:r>
        <w:t xml:space="preserve">The material impact calculation utilizes the provided Detailed Bill of Materials (BOM) for hnkrlnyxms (fgzdxhhz). The \'Total Carbon\' values, directly provided within the BOM for each item, are used for the material acquisition and processing phase.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MAT003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0.50</w:t>
            </w:r>
          </w:p>
        </w:tc>
      </w:tr>
      <w:tr>
        <w:tc>
          <w:tcPr/>
          <w:p>
            <w:pPr>
              <w:pStyle w:val="Compact"/>
              <w:jc w:val="left"/>
            </w:pPr>
            <w:r>
              <w:t xml:space="preserve">MAT005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0.04</w:t>
            </w:r>
          </w:p>
        </w:tc>
      </w:tr>
      <w:tr>
        <w:tc>
          <w:tcPr>
            <w:gridSpan w:val="4"/>
          </w:tcPr>
          <w:p>
            <w:pPr>
              <w:pStyle w:val="Compact"/>
              <w:jc w:val="left"/>
            </w:pPr>
            <w:r>
              <w:t xml:space="preserve">Total Product Weight</w:t>
            </w:r>
          </w:p>
        </w:tc>
        <w:tc>
          <w:tcPr/>
          <w:p>
            <w:pPr>
              <w:pStyle w:val="Compact"/>
              <w:jc w:val="left"/>
            </w:pPr>
            <w:r>
              <w:t xml:space="preserve">0.86</w:t>
            </w:r>
          </w:p>
        </w:tc>
        <w:tc>
          <w:tcPr/>
          <w:p>
            <w:pPr>
              <w:pStyle w:val="Compact"/>
              <w:jc w:val="left"/>
            </w:pPr>
            <w:r>
              <w:t xml:space="preserve">kg</w:t>
            </w:r>
          </w:p>
        </w:tc>
        <w:tc>
          <w:tcPr/>
          <w:p>
            <w:pPr>
              <w:pStyle w:val="Compact"/>
            </w:pPr>
          </w:p>
        </w:tc>
        <w:tc>
          <w:tcPr/>
          <w:p>
            <w:pPr>
              <w:pStyle w:val="Compact"/>
              <w:jc w:val="left"/>
            </w:pPr>
            <w:r>
              <w:t xml:space="preserve">4.89</w:t>
            </w:r>
          </w:p>
        </w:tc>
      </w:tr>
    </w:tbl>
    <w:bookmarkEnd w:id="23"/>
    <w:bookmarkStart w:id="24" w:name="energy-inputs-for-production"/>
    <w:p>
      <w:pPr>
        <w:pStyle w:val="Heading3"/>
      </w:pPr>
      <w:r>
        <w:t xml:space="preserve">Energy Inputs for Production</w:t>
      </w:r>
    </w:p>
    <w:p>
      <w:pPr>
        <w:pStyle w:val="FirstParagraph"/>
      </w:pPr>
      <w:r>
        <w:t xml:space="preserve">The production phase in China utilizes electricity with a specified energy intensity and renewable energy mix:</w:t>
      </w:r>
    </w:p>
    <w:p>
      <w:pPr>
        <w:numPr>
          <w:ilvl w:val="0"/>
          <w:numId w:val="1002"/>
        </w:numPr>
        <w:pStyle w:val="Compact"/>
      </w:pPr>
      <w:r>
        <w:rPr>
          <w:bCs/>
          <w:b/>
        </w:rPr>
        <w:t xml:space="preserve">Energy Intensity (kWh/unit):</w:t>
      </w:r>
      <w:r>
        <w:t xml:space="preserve"> </w:t>
      </w:r>
      <w:r>
        <w:t xml:space="preserve">20 kWh/unit</w:t>
      </w:r>
    </w:p>
    <w:p>
      <w:pPr>
        <w:numPr>
          <w:ilvl w:val="0"/>
          <w:numId w:val="1002"/>
        </w:numPr>
        <w:pStyle w:val="Compact"/>
      </w:pPr>
      <w:r>
        <w:rPr>
          <w:bCs/>
          <w:b/>
        </w:rPr>
        <w:t xml:space="preserve">Renewable Energy Usage:</w:t>
      </w:r>
      <w:r>
        <w:t xml:space="preserve"> </w:t>
      </w:r>
      <w:r>
        <w:t xml:space="preserve">30%</w:t>
      </w:r>
    </w:p>
    <w:p>
      <w:pPr>
        <w:numPr>
          <w:ilvl w:val="0"/>
          <w:numId w:val="1002"/>
        </w:numPr>
        <w:pStyle w:val="Compact"/>
      </w:pPr>
      <w:r>
        <w:rPr>
          <w:bCs/>
          <w:b/>
        </w:rPr>
        <w:t xml:space="preserve">Non-Renewable Grid Electricity (China Average):</w:t>
      </w:r>
      <w:r>
        <w:t xml:space="preserve"> </w:t>
      </w:r>
      <w:r>
        <w:t xml:space="preserve">Emission Factor = 0.60 kgCO2e/kWh (Source: IEA estimates for China grid mix)</w:t>
      </w:r>
    </w:p>
    <w:p>
      <w:pPr>
        <w:numPr>
          <w:ilvl w:val="0"/>
          <w:numId w:val="1002"/>
        </w:numPr>
        <w:pStyle w:val="Compact"/>
      </w:pPr>
      <w:r>
        <w:rPr>
          <w:bCs/>
          <w:b/>
        </w:rPr>
        <w:t xml:space="preserve">Renewable Electricity (Infrastructure):</w:t>
      </w:r>
      <w:r>
        <w:t xml:space="preserve"> </w:t>
      </w:r>
      <w:r>
        <w:t xml:space="preserve">Emission Factor = 0.02 kgCO2e/kWh (Source: Generic for wind/solar infrastructure)</w:t>
      </w:r>
    </w:p>
    <w:bookmarkEnd w:id="24"/>
    <w:bookmarkStart w:id="25" w:name="logistics-data"/>
    <w:p>
      <w:pPr>
        <w:pStyle w:val="Heading3"/>
      </w:pPr>
      <w:r>
        <w:t xml:space="preserve">Logistics Data</w:t>
      </w:r>
    </w:p>
    <w:p>
      <w:pPr>
        <w:pStyle w:val="FirstParagraph"/>
      </w:pPr>
      <w:r>
        <w:t xml:space="preserve">Transportation data incorporated into the supply chain analysis includes:</w:t>
      </w:r>
    </w:p>
    <w:p>
      <w:pPr>
        <w:numPr>
          <w:ilvl w:val="0"/>
          <w:numId w:val="1003"/>
        </w:numPr>
        <w:pStyle w:val="Compact"/>
      </w:pPr>
      <w:r>
        <w:rPr>
          <w:bCs/>
          <w:b/>
        </w:rPr>
        <w:t xml:space="preserve">Transport Mode (Inbound Materials, Europe to China):</w:t>
      </w:r>
      <w:r>
        <w:t xml:space="preserve"> </w:t>
      </w:r>
      <w:r>
        <w:t xml:space="preserve">Ocean Freight</w:t>
      </w:r>
    </w:p>
    <w:p>
      <w:pPr>
        <w:numPr>
          <w:ilvl w:val="0"/>
          <w:numId w:val="1003"/>
        </w:numPr>
        <w:pStyle w:val="Compact"/>
      </w:pPr>
      <w:r>
        <w:rPr>
          <w:bCs/>
          <w:b/>
        </w:rPr>
        <w:t xml:space="preserve">Transport Mode (Outbound Product, China to Europe):</w:t>
      </w:r>
      <w:r>
        <w:t xml:space="preserve"> </w:t>
      </w:r>
      <w:r>
        <w:t xml:space="preserve">Ocean Freight</w:t>
      </w:r>
    </w:p>
    <w:p>
      <w:pPr>
        <w:numPr>
          <w:ilvl w:val="0"/>
          <w:numId w:val="1003"/>
        </w:numPr>
        <w:pStyle w:val="Compact"/>
      </w:pPr>
      <w:r>
        <w:rPr>
          <w:bCs/>
          <w:b/>
        </w:rPr>
        <w:t xml:space="preserve">Transport Mode (Last-Mile Delivery):</w:t>
      </w:r>
      <w:r>
        <w:t xml:space="preserve"> </w:t>
      </w:r>
      <w:r>
        <w:t xml:space="preserve">Road Freight (Courier Van)</w:t>
      </w:r>
    </w:p>
    <w:p>
      <w:pPr>
        <w:numPr>
          <w:ilvl w:val="0"/>
          <w:numId w:val="1003"/>
        </w:numPr>
        <w:pStyle w:val="Compact"/>
      </w:pPr>
      <w:r>
        <w:rPr>
          <w:bCs/>
          <w:b/>
        </w:rPr>
        <w:t xml:space="preserve">Transport Distance (Inbound):</w:t>
      </w:r>
      <w:r>
        <w:t xml:space="preserve"> </w:t>
      </w:r>
      <w:r>
        <w:t xml:space="preserve">2500 km (Europe to China)</w:t>
      </w:r>
    </w:p>
    <w:p>
      <w:pPr>
        <w:numPr>
          <w:ilvl w:val="0"/>
          <w:numId w:val="1003"/>
        </w:numPr>
        <w:pStyle w:val="Compact"/>
      </w:pPr>
      <w:r>
        <w:rPr>
          <w:bCs/>
          <w:b/>
        </w:rPr>
        <w:t xml:space="preserve">Transport Distance (Outbound):</w:t>
      </w:r>
      <w:r>
        <w:t xml:space="preserve"> </w:t>
      </w:r>
      <w:r>
        <w:t xml:space="preserve">2500 km (China to Europe)</w:t>
      </w:r>
    </w:p>
    <w:p>
      <w:pPr>
        <w:numPr>
          <w:ilvl w:val="0"/>
          <w:numId w:val="1003"/>
        </w:numPr>
        <w:pStyle w:val="Compact"/>
      </w:pPr>
      <w:r>
        <w:rPr>
          <w:bCs/>
          <w:b/>
        </w:rPr>
        <w:t xml:space="preserve">Transport Distance (Last-Mile):</w:t>
      </w:r>
      <w:r>
        <w:t xml:space="preserve"> </w:t>
      </w:r>
      <w:r>
        <w:t xml:space="preserve">100 km (average per unit within Europe)</w:t>
      </w:r>
    </w:p>
    <w:p>
      <w:pPr>
        <w:numPr>
          <w:ilvl w:val="0"/>
          <w:numId w:val="1003"/>
        </w:numPr>
        <w:pStyle w:val="Compact"/>
      </w:pPr>
      <w:r>
        <w:rPr>
          <w:bCs/>
          <w:b/>
        </w:rPr>
        <w:t xml:space="preserve">Ocean Freight Emission Factor:</w:t>
      </w:r>
      <w:r>
        <w:t xml:space="preserve"> </w:t>
      </w:r>
      <w:r>
        <w:t xml:space="preserve">0.009 kgCO2e/tonne-km (Source: Ecoinvent/DEFRA equivalent)</w:t>
      </w:r>
    </w:p>
    <w:p>
      <w:pPr>
        <w:numPr>
          <w:ilvl w:val="0"/>
          <w:numId w:val="1003"/>
        </w:numPr>
        <w:pStyle w:val="Compact"/>
      </w:pPr>
      <w:r>
        <w:rPr>
          <w:bCs/>
          <w:b/>
        </w:rPr>
        <w:t xml:space="preserve">Road Freight Emission Factor:</w:t>
      </w:r>
      <w:r>
        <w:t xml:space="preserve"> </w:t>
      </w:r>
      <w:r>
        <w:t xml:space="preserve">0.08 kgCO2e/tonne-km (Source: Ecoinvent/DEFRA equivalent for light commercial vehicles)</w:t>
      </w:r>
    </w:p>
    <w:bookmarkEnd w:id="25"/>
    <w:bookmarkStart w:id="26" w:name="use-phase-data"/>
    <w:p>
      <w:pPr>
        <w:pStyle w:val="Heading3"/>
      </w:pPr>
      <w:r>
        <w:t xml:space="preserve">Use Phase Data</w:t>
      </w:r>
    </w:p>
    <w:p>
      <w:pPr>
        <w:pStyle w:val="FirstParagraph"/>
      </w:pPr>
      <w:r>
        <w:t xml:space="preserve">The use phase calculation reflects product durability and energy consumption:</w:t>
      </w:r>
    </w:p>
    <w:p>
      <w:pPr>
        <w:numPr>
          <w:ilvl w:val="0"/>
          <w:numId w:val="1004"/>
        </w:numPr>
        <w:pStyle w:val="Compact"/>
      </w:pPr>
      <w:r>
        <w:rPr>
          <w:bCs/>
          <w:b/>
        </w:rPr>
        <w:t xml:space="preserve">Product Lifespan:</w:t>
      </w:r>
      <w:r>
        <w:t xml:space="preserve"> </w:t>
      </w:r>
      <w:r>
        <w:t xml:space="preserve">3 years</w:t>
      </w:r>
    </w:p>
    <w:p>
      <w:pPr>
        <w:numPr>
          <w:ilvl w:val="0"/>
          <w:numId w:val="1004"/>
        </w:numPr>
        <w:pStyle w:val="Compact"/>
      </w:pPr>
      <w:r>
        <w:rPr>
          <w:bCs/>
          <w:b/>
        </w:rPr>
        <w:t xml:space="preserve">Energy Consumption in Use:</w:t>
      </w:r>
      <w:r>
        <w:t xml:space="preserve"> </w:t>
      </w:r>
      <w:r>
        <w:t xml:space="preserve">5 kWh/year</w:t>
      </w:r>
    </w:p>
    <w:p>
      <w:pPr>
        <w:numPr>
          <w:ilvl w:val="0"/>
          <w:numId w:val="1004"/>
        </w:numPr>
        <w:pStyle w:val="Compact"/>
      </w:pPr>
      <w:r>
        <w:rPr>
          <w:bCs/>
          <w:b/>
        </w:rPr>
        <w:t xml:space="preserve">Electricity Emission Factor (for Use Phase):</w:t>
      </w:r>
      <w:r>
        <w:t xml:space="preserve"> </w:t>
      </w:r>
      <w:r>
        <w:t xml:space="preserve">0.60 kgCO2e/kWh (Assuming a generic grid mix, similar to China for consistency)</w:t>
      </w:r>
    </w:p>
    <w:bookmarkEnd w:id="26"/>
    <w:bookmarkStart w:id="27" w:name="end-of-life-eol-scenarios"/>
    <w:p>
      <w:pPr>
        <w:pStyle w:val="Heading3"/>
      </w:pPr>
      <w:r>
        <w:t xml:space="preserve">End-of-Life (EoL) Scenarios</w:t>
      </w:r>
    </w:p>
    <w:p>
      <w:pPr>
        <w:pStyle w:val="FirstParagraph"/>
      </w:pPr>
      <w:r>
        <w:t xml:space="preserve">EoL impacts incorporate circular economy considerations:</w:t>
      </w:r>
    </w:p>
    <w:p>
      <w:pPr>
        <w:numPr>
          <w:ilvl w:val="0"/>
          <w:numId w:val="1005"/>
        </w:numPr>
        <w:pStyle w:val="Compact"/>
      </w:pPr>
      <w:r>
        <w:rPr>
          <w:bCs/>
          <w:b/>
        </w:rPr>
        <w:t xml:space="preserve">Recyclability Percentage:</w:t>
      </w:r>
      <w:r>
        <w:t xml:space="preserve"> </w:t>
      </w:r>
      <w:r>
        <w:t xml:space="preserve">60%</w:t>
      </w:r>
    </w:p>
    <w:p>
      <w:pPr>
        <w:numPr>
          <w:ilvl w:val="0"/>
          <w:numId w:val="1005"/>
        </w:numPr>
        <w:pStyle w:val="Compact"/>
      </w:pPr>
      <w:r>
        <w:rPr>
          <w:bCs/>
          <w:b/>
        </w:rPr>
        <w:t xml:space="preserve">Circular/Take-back Programs:</w:t>
      </w:r>
      <w:r>
        <w:t xml:space="preserve"> </w:t>
      </w:r>
      <w:r>
        <w:t xml:space="preserve">An existing take-back program with a 15% return rate ensures a portion of products are collected for material recycling.</w:t>
      </w:r>
    </w:p>
    <w:p>
      <w:pPr>
        <w:numPr>
          <w:ilvl w:val="0"/>
          <w:numId w:val="1005"/>
        </w:numPr>
        <w:pStyle w:val="Compact"/>
      </w:pPr>
      <w:r>
        <w:rPr>
          <w:bCs/>
          <w:b/>
        </w:rPr>
        <w:t xml:space="preserve">Disposal Emission Factor:</w:t>
      </w:r>
      <w:r>
        <w:t xml:space="preserve"> </w:t>
      </w:r>
      <w:r>
        <w:t xml:space="preserve">1.0 kgCO2e/kg (simplified for non-recycled waste, e.g., landfill)</w:t>
      </w:r>
    </w:p>
    <w:p>
      <w:pPr>
        <w:numPr>
          <w:ilvl w:val="0"/>
          <w:numId w:val="1005"/>
        </w:numPr>
        <w:pStyle w:val="Compact"/>
      </w:pPr>
      <w:r>
        <w:rPr>
          <w:bCs/>
          <w:b/>
        </w:rPr>
        <w:t xml:space="preserve">Recycling Credit:</w:t>
      </w:r>
      <w:r>
        <w:t xml:space="preserve"> </w:t>
      </w:r>
      <w:r>
        <w:t xml:space="preserve">-1.5 kgCO2e/kg (simplified, representing avoided virgin material production)</w:t>
      </w:r>
    </w:p>
    <w:p>
      <w:r>
        <w:pict>
          <v:rect style="width:0;height:1.5pt" o:hralign="center" o:hrstd="t" o:hr="t"/>
        </w:pict>
      </w:r>
    </w:p>
    <w:bookmarkEnd w:id="27"/>
    <w:bookmarkEnd w:id="28"/>
    <w:bookmarkStart w:id="38" w:name="emission-calculations"/>
    <w:p>
      <w:pPr>
        <w:pStyle w:val="Heading2"/>
      </w:pPr>
      <w:r>
        <w:t xml:space="preserve">4. Emission Calculations</w:t>
      </w:r>
    </w:p>
    <w:p>
      <w:pPr>
        <w:pStyle w:val="FirstParagraph"/>
      </w:pPr>
      <w:r>
        <w:t xml:space="preserve">The emissions for each lifecycle stage have been calculated and categorized according to the GHG Protocol.</w:t>
      </w:r>
    </w:p>
    <w:bookmarkStart w:id="29" w:name="Xa35c5267e23e39fbbd514b696f0f557c1959850"/>
    <w:p>
      <w:pPr>
        <w:pStyle w:val="Heading3"/>
      </w:pPr>
      <w:r>
        <w:t xml:space="preserve">Summary of Carbon Footprint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4.89</w:t>
            </w:r>
          </w:p>
        </w:tc>
      </w:tr>
      <w:tr>
        <w:tc>
          <w:tcPr/>
          <w:p>
            <w:pPr>
              <w:pStyle w:val="Compact"/>
              <w:jc w:val="left"/>
            </w:pPr>
            <w:r>
              <w:t xml:space="preserve">Manufacturing (Production)</w:t>
            </w:r>
          </w:p>
        </w:tc>
        <w:tc>
          <w:tcPr/>
          <w:p>
            <w:pPr>
              <w:pStyle w:val="Compact"/>
              <w:jc w:val="left"/>
            </w:pPr>
            <w:r>
              <w:t xml:space="preserve">Scope 2 (Purchased Electricity)</w:t>
            </w:r>
          </w:p>
        </w:tc>
        <w:tc>
          <w:tcPr/>
          <w:p>
            <w:pPr>
              <w:pStyle w:val="Compact"/>
              <w:jc w:val="left"/>
            </w:pPr>
            <w:r>
              <w:t xml:space="preserve">9.06</w:t>
            </w:r>
          </w:p>
        </w:tc>
      </w:tr>
      <w:tr>
        <w:tc>
          <w:tcPr/>
          <w:p>
            <w:pPr>
              <w:pStyle w:val="Compact"/>
              <w:jc w:val="left"/>
            </w:pPr>
            <w:r>
              <w:t xml:space="preserve">Transportation (Inbound, Outbound, Last-Mile)</w:t>
            </w:r>
          </w:p>
        </w:tc>
        <w:tc>
          <w:tcPr/>
          <w:p>
            <w:pPr>
              <w:pStyle w:val="Compact"/>
              <w:jc w:val="left"/>
            </w:pPr>
            <w:r>
              <w:t xml:space="preserve">Scope 3 (Upstream/Downstream)</w:t>
            </w:r>
          </w:p>
        </w:tc>
        <w:tc>
          <w:tcPr/>
          <w:p>
            <w:pPr>
              <w:pStyle w:val="Compact"/>
              <w:jc w:val="left"/>
            </w:pPr>
            <w:r>
              <w:t xml:space="preserve">0.045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9.00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-0.43</w:t>
            </w:r>
          </w:p>
        </w:tc>
      </w:tr>
      <w:tr>
        <w:tc>
          <w:tcPr>
            <w:gridSpan w:val="2"/>
          </w:tcPr>
          <w:p>
            <w:pPr>
              <w:pStyle w:val="Compact"/>
              <w:jc w:val="left"/>
            </w:pPr>
            <w:r>
              <w:rPr>
                <w:bCs/>
                <w:b/>
              </w:rPr>
              <w:t xml:space="preserve">Total Product Carbon Footprint</w:t>
            </w:r>
          </w:p>
        </w:tc>
        <w:tc>
          <w:tcPr/>
          <w:p>
            <w:pPr>
              <w:pStyle w:val="Compact"/>
              <w:jc w:val="left"/>
            </w:pPr>
            <w:r>
              <w:rPr>
                <w:bCs/>
                <w:b/>
              </w:rPr>
              <w:t xml:space="preserve">22.565</w:t>
            </w:r>
          </w:p>
        </w:tc>
      </w:tr>
    </w:tbl>
    <w:bookmarkEnd w:id="29"/>
    <w:bookmarkStart w:id="35" w:name="detailed-emission-breakdown-by-ghg-scope"/>
    <w:p>
      <w:pPr>
        <w:pStyle w:val="Heading3"/>
      </w:pPr>
      <w:r>
        <w:t xml:space="preserve">Detailed Emission Breakdown by GHG Scope</w:t>
      </w:r>
    </w:p>
    <w:bookmarkStart w:id="30" w:name="scope-1-emissions-direct-emissions"/>
    <w:p>
      <w:pPr>
        <w:pStyle w:val="Heading4"/>
      </w:pPr>
      <w:r>
        <w:t xml:space="preserve">Scope 1 Emissions: Direct Emissions</w:t>
      </w:r>
    </w:p>
    <w:p>
      <w:pPr>
        <w:pStyle w:val="FirstParagraph"/>
      </w:pPr>
      <w:r>
        <w:t xml:space="preserve">Based on the "factory_gate" system boundary and the provided parameters, no direct (Scope 1) emissions from owned or controlled sources (e.g., on-site fuel combustion) are specifically accounted for within this product\'s lifecycle. Any such emissions at the manufacturing facility would typically be allocated from the facility\'s overall footprint, but are not provided as a direct input for this product.</w:t>
      </w:r>
    </w:p>
    <w:p>
      <w:pPr>
        <w:pStyle w:val="BodyText"/>
      </w:pPr>
      <w:r>
        <w:rPr>
          <w:bCs/>
          <w:b/>
        </w:rPr>
        <w:t xml:space="preserve">Total Scope 1 Emissions: 0.00 kgCO2e/unit</w:t>
      </w:r>
    </w:p>
    <w:bookmarkEnd w:id="30"/>
    <w:bookmarkStart w:id="31" w:name="scope-2-emissions-purchased-energy"/>
    <w:p>
      <w:pPr>
        <w:pStyle w:val="Heading4"/>
      </w:pPr>
      <w:r>
        <w:t xml:space="preserve">Scope 2 Emissions: Purchased Energy</w:t>
      </w:r>
    </w:p>
    <w:p>
      <w:pPr>
        <w:pStyle w:val="FirstParagraph"/>
      </w:pPr>
      <w:r>
        <w:t xml:space="preserve">These emissions arise from the electricity purchased for the manufacturing process of hnkrlnyxms in China.</w:t>
      </w:r>
    </w:p>
    <w:p>
      <w:pPr>
        <w:numPr>
          <w:ilvl w:val="0"/>
          <w:numId w:val="1006"/>
        </w:numPr>
        <w:pStyle w:val="Compact"/>
      </w:pPr>
      <w:r>
        <w:t xml:space="preserve">Total Electricity Demand: 20 kWh/unit</w:t>
      </w:r>
    </w:p>
    <w:p>
      <w:pPr>
        <w:numPr>
          <w:ilvl w:val="0"/>
          <w:numId w:val="1006"/>
        </w:numPr>
        <w:pStyle w:val="Compact"/>
      </w:pPr>
      <w:r>
        <w:t xml:space="preserve">Renewable Electricity Used: 20 kWh * 30% = 6 kWh</w:t>
      </w:r>
    </w:p>
    <w:p>
      <w:pPr>
        <w:numPr>
          <w:ilvl w:val="0"/>
          <w:numId w:val="1006"/>
        </w:numPr>
        <w:pStyle w:val="Compact"/>
      </w:pPr>
      <w:r>
        <w:t xml:space="preserve">Grid Electricity Used: 20 kWh * (1 - 30%) = 14 kWh</w:t>
      </w:r>
    </w:p>
    <w:p>
      <w:pPr>
        <w:numPr>
          <w:ilvl w:val="0"/>
          <w:numId w:val="1006"/>
        </w:numPr>
        <w:pStyle w:val="Compact"/>
      </w:pPr>
      <w:r>
        <w:t xml:space="preserve">Emissions from Renewable Electricity: 6 kWh * 0.02 kgCO2e/kWh = 0.12 kgCO2e</w:t>
      </w:r>
    </w:p>
    <w:p>
      <w:pPr>
        <w:numPr>
          <w:ilvl w:val="0"/>
          <w:numId w:val="1006"/>
        </w:numPr>
        <w:pStyle w:val="Compact"/>
      </w:pPr>
      <w:r>
        <w:t xml:space="preserve">Emissions from Grid Electricity: 14 kWh * 0.60 kgCO2e/kWh = 8.40 kgCO2e</w:t>
      </w:r>
    </w:p>
    <w:p>
      <w:pPr>
        <w:pStyle w:val="FirstParagraph"/>
      </w:pPr>
      <w:r>
        <w:rPr>
          <w:bCs/>
          <w:b/>
        </w:rPr>
        <w:t xml:space="preserve">Total Scope 2 Emissions: 8.52 kgCO2e/unit</w:t>
      </w:r>
    </w:p>
    <w:bookmarkEnd w:id="31"/>
    <w:bookmarkStart w:id="34" w:name="scope-3-emissions-value-chain-emissions"/>
    <w:p>
      <w:pPr>
        <w:pStyle w:val="Heading4"/>
      </w:pPr>
      <w:r>
        <w:t xml:space="preserve">Scope 3 Emissions: Value Chain Emissions</w:t>
      </w:r>
    </w:p>
    <w:p>
      <w:pPr>
        <w:pStyle w:val="FirstParagraph"/>
      </w:pPr>
      <w:r>
        <w:t xml:space="preserve">Scope 3 emissions represent the most significant portion of the product\'s carbon footprint, encompassing upstream and downstream activities.</w:t>
      </w:r>
    </w:p>
    <w:bookmarkStart w:id="32" w:name="upstream-scope-3-emissions"/>
    <w:p>
      <w:pPr>
        <w:pStyle w:val="Heading5"/>
      </w:pPr>
      <w:r>
        <w:t xml:space="preserve">Upstream Scope 3 Emissions:</w:t>
      </w:r>
    </w:p>
    <w:p>
      <w:pPr>
        <w:numPr>
          <w:ilvl w:val="0"/>
          <w:numId w:val="1007"/>
        </w:numPr>
      </w:pPr>
      <w:r>
        <w:rPr>
          <w:bCs/>
          <w:b/>
        </w:rPr>
        <w:t xml:space="preserve">Raw Material Acquisition &amp; Processing (Category 1):</w:t>
      </w:r>
    </w:p>
    <w:p>
      <w:pPr>
        <w:numPr>
          <w:ilvl w:val="1"/>
          <w:numId w:val="1008"/>
        </w:numPr>
        <w:pStyle w:val="Compact"/>
      </w:pPr>
      <w:r>
        <w:t xml:space="preserve">Total from BOM (fgzdxhhz): 4.89 kgCO2e</w:t>
      </w:r>
    </w:p>
    <w:p>
      <w:pPr>
        <w:numPr>
          <w:ilvl w:val="0"/>
          <w:numId w:val="1000"/>
        </w:numPr>
      </w:pPr>
      <w:r>
        <w:rPr>
          <w:bCs/>
          <w:b/>
        </w:rPr>
        <w:t xml:space="preserve">Sub-total Raw Materials: 4.89 kgCO2e/unit</w:t>
      </w:r>
    </w:p>
    <w:p>
      <w:pPr>
        <w:numPr>
          <w:ilvl w:val="0"/>
          <w:numId w:val="1007"/>
        </w:numPr>
      </w:pPr>
      <w:r>
        <w:rPr>
          <w:bCs/>
          <w:b/>
        </w:rPr>
        <w:t xml:space="preserve">Transportation (Inbound - Category 4):</w:t>
      </w:r>
    </w:p>
    <w:p>
      <w:pPr>
        <w:numPr>
          <w:ilvl w:val="1"/>
          <w:numId w:val="1009"/>
        </w:numPr>
        <w:pStyle w:val="Compact"/>
      </w:pPr>
      <w:r>
        <w:t xml:space="preserve">Product Weight: 0.86 kg (0.00086 tonnes)</w:t>
      </w:r>
    </w:p>
    <w:p>
      <w:pPr>
        <w:numPr>
          <w:ilvl w:val="1"/>
          <w:numId w:val="1009"/>
        </w:numPr>
        <w:pStyle w:val="Compact"/>
      </w:pPr>
      <w:r>
        <w:t xml:space="preserve">Distance: 2500 km</w:t>
      </w:r>
    </w:p>
    <w:p>
      <w:pPr>
        <w:numPr>
          <w:ilvl w:val="1"/>
          <w:numId w:val="1009"/>
        </w:numPr>
        <w:pStyle w:val="Compact"/>
      </w:pPr>
      <w:r>
        <w:t xml:space="preserve">Mode: Ocean Freight</w:t>
      </w:r>
    </w:p>
    <w:p>
      <w:pPr>
        <w:numPr>
          <w:ilvl w:val="1"/>
          <w:numId w:val="1009"/>
        </w:numPr>
        <w:pStyle w:val="Compact"/>
      </w:pPr>
      <w:r>
        <w:t xml:space="preserve">Emissions: 0.00086 tonnes * 2500 km * 0.009 kgCO2e/tkm = 0.01935 kgCO2e</w:t>
      </w:r>
    </w:p>
    <w:p>
      <w:pPr>
        <w:numPr>
          <w:ilvl w:val="0"/>
          <w:numId w:val="1000"/>
        </w:numPr>
      </w:pPr>
      <w:r>
        <w:rPr>
          <w:bCs/>
          <w:b/>
        </w:rPr>
        <w:t xml:space="preserve">Sub-total Inbound Transport: 0.01935 kgCO2e/unit</w:t>
      </w:r>
    </w:p>
    <w:bookmarkEnd w:id="32"/>
    <w:bookmarkStart w:id="33" w:name="downstream-scope-3-emissions"/>
    <w:p>
      <w:pPr>
        <w:pStyle w:val="Heading5"/>
      </w:pPr>
      <w:r>
        <w:t xml:space="preserve">Downstream Scope 3 Emissions:</w:t>
      </w:r>
    </w:p>
    <w:p>
      <w:pPr>
        <w:numPr>
          <w:ilvl w:val="0"/>
          <w:numId w:val="1010"/>
        </w:numPr>
      </w:pPr>
      <w:r>
        <w:rPr>
          <w:bCs/>
          <w:b/>
        </w:rPr>
        <w:t xml:space="preserve">Transportation (Outbound &amp; Last-Mile - Category 4):</w:t>
      </w:r>
    </w:p>
    <w:p>
      <w:pPr>
        <w:numPr>
          <w:ilvl w:val="1"/>
          <w:numId w:val="1011"/>
        </w:numPr>
        <w:pStyle w:val="Compact"/>
      </w:pPr>
      <w:r>
        <w:t xml:space="preserve">Outbound Product (China to Europe): 0.00086 tonnes * 2500 km * 0.009 kgCO2e/tkm = 0.01935 kgCO2e</w:t>
      </w:r>
    </w:p>
    <w:p>
      <w:pPr>
        <w:numPr>
          <w:ilvl w:val="1"/>
          <w:numId w:val="1011"/>
        </w:numPr>
        <w:pStyle w:val="Compact"/>
      </w:pPr>
      <w:r>
        <w:t xml:space="preserve">Last-Mile Delivery: 0.00086 tonnes * 100 km * 0.08 kgCO2e/tkm = 0.00688 kgCO2e</w:t>
      </w:r>
    </w:p>
    <w:p>
      <w:pPr>
        <w:numPr>
          <w:ilvl w:val="0"/>
          <w:numId w:val="1000"/>
        </w:numPr>
      </w:pPr>
      <w:r>
        <w:rPr>
          <w:bCs/>
          <w:b/>
        </w:rPr>
        <w:t xml:space="preserve">Sub-total Outbound &amp; Last-Mile Transport: 0.02623 kgCO2e/unit</w:t>
      </w:r>
    </w:p>
    <w:p>
      <w:pPr>
        <w:numPr>
          <w:ilvl w:val="0"/>
          <w:numId w:val="1010"/>
        </w:numPr>
      </w:pPr>
      <w:r>
        <w:rPr>
          <w:bCs/>
          <w:b/>
        </w:rPr>
        <w:t xml:space="preserve">Use Phase (Category 11):</w:t>
      </w:r>
    </w:p>
    <w:p>
      <w:pPr>
        <w:numPr>
          <w:ilvl w:val="1"/>
          <w:numId w:val="1012"/>
        </w:numPr>
        <w:pStyle w:val="Compact"/>
      </w:pPr>
      <w:r>
        <w:t xml:space="preserve">Product Lifespan: 3 years</w:t>
      </w:r>
    </w:p>
    <w:p>
      <w:pPr>
        <w:numPr>
          <w:ilvl w:val="1"/>
          <w:numId w:val="1012"/>
        </w:numPr>
        <w:pStyle w:val="Compact"/>
      </w:pPr>
      <w:r>
        <w:t xml:space="preserve">Annual Energy Consumption: 5 kWh/year</w:t>
      </w:r>
    </w:p>
    <w:p>
      <w:pPr>
        <w:numPr>
          <w:ilvl w:val="1"/>
          <w:numId w:val="1012"/>
        </w:numPr>
        <w:pStyle w:val="Compact"/>
      </w:pPr>
      <w:r>
        <w:t xml:space="preserve">Total Energy Consumption: 3 years * 5 kWh/year = 15 kWh</w:t>
      </w:r>
    </w:p>
    <w:p>
      <w:pPr>
        <w:numPr>
          <w:ilvl w:val="1"/>
          <w:numId w:val="1012"/>
        </w:numPr>
        <w:pStyle w:val="Compact"/>
      </w:pPr>
      <w:r>
        <w:t xml:space="preserve">Emissions: 15 kWh * 0.60 kgCO2e/kWh = 9.00 kgCO2e</w:t>
      </w:r>
    </w:p>
    <w:p>
      <w:pPr>
        <w:numPr>
          <w:ilvl w:val="0"/>
          <w:numId w:val="1000"/>
        </w:numPr>
      </w:pPr>
      <w:r>
        <w:rPr>
          <w:bCs/>
          <w:b/>
        </w:rPr>
        <w:t xml:space="preserve">Sub-total Use Phase: 9.00 kgCO2e/unit</w:t>
      </w:r>
    </w:p>
    <w:p>
      <w:pPr>
        <w:numPr>
          <w:ilvl w:val="0"/>
          <w:numId w:val="1010"/>
        </w:numPr>
      </w:pPr>
      <w:r>
        <w:rPr>
          <w:bCs/>
          <w:b/>
        </w:rPr>
        <w:t xml:space="preserve">End-of-Life Treatment (Category 12):</w:t>
      </w:r>
    </w:p>
    <w:p>
      <w:pPr>
        <w:numPr>
          <w:ilvl w:val="1"/>
          <w:numId w:val="1013"/>
        </w:numPr>
        <w:pStyle w:val="Compact"/>
      </w:pPr>
      <w:r>
        <w:t xml:space="preserve">Product Weight: 0.86 kg</w:t>
      </w:r>
    </w:p>
    <w:p>
      <w:pPr>
        <w:numPr>
          <w:ilvl w:val="1"/>
          <w:numId w:val="1013"/>
        </w:numPr>
        <w:pStyle w:val="Compact"/>
      </w:pPr>
      <w:r>
        <w:t xml:space="preserve">Recyclability: 60% -&gt; 0.86 kg * 0.60 = 0.516 kg recycled</w:t>
      </w:r>
    </w:p>
    <w:p>
      <w:pPr>
        <w:numPr>
          <w:ilvl w:val="1"/>
          <w:numId w:val="1013"/>
        </w:numPr>
        <w:pStyle w:val="Compact"/>
      </w:pPr>
      <w:r>
        <w:t xml:space="preserve">Disposed: 40% -&gt; 0.86 kg * 0.40 = 0.344 kg disposed</w:t>
      </w:r>
    </w:p>
    <w:p>
      <w:pPr>
        <w:numPr>
          <w:ilvl w:val="1"/>
          <w:numId w:val="1013"/>
        </w:numPr>
        <w:pStyle w:val="Compact"/>
      </w:pPr>
      <w:r>
        <w:t xml:space="preserve">Emissions from Disposal: 0.344 kg * 1.0 kgCO2e/kg = 0.344 kgCO2e</w:t>
      </w:r>
    </w:p>
    <w:p>
      <w:pPr>
        <w:numPr>
          <w:ilvl w:val="1"/>
          <w:numId w:val="1013"/>
        </w:numPr>
        <w:pStyle w:val="Compact"/>
      </w:pPr>
      <w:r>
        <w:t xml:space="preserve">Avoided Emissions from Recycling (Credit): 0.516 kg * -1.5 kgCO2e/kg = -0.774 kgCO2e</w:t>
      </w:r>
    </w:p>
    <w:p>
      <w:pPr>
        <w:numPr>
          <w:ilvl w:val="1"/>
          <w:numId w:val="1013"/>
        </w:numPr>
        <w:pStyle w:val="Compact"/>
      </w:pPr>
      <w:r>
        <w:t xml:space="preserve">Net EoL Impact: 0.344 kgCO2e - 0.774 kgCO2e = -0.43 kgCO2e</w:t>
      </w:r>
    </w:p>
    <w:p>
      <w:pPr>
        <w:numPr>
          <w:ilvl w:val="0"/>
          <w:numId w:val="1000"/>
        </w:numPr>
      </w:pPr>
      <w:r>
        <w:t xml:space="preserve">The existence of a take-back program with a 15% return rate (zyxdpkjdlf) facilitates the achievement of the recyclability percentage for collected products, contributing to the overall EoL impact reduction.</w:t>
      </w:r>
    </w:p>
    <w:p>
      <w:pPr>
        <w:numPr>
          <w:ilvl w:val="0"/>
          <w:numId w:val="1000"/>
        </w:numPr>
      </w:pPr>
      <w:r>
        <w:rPr>
          <w:bCs/>
          <w:b/>
        </w:rPr>
        <w:t xml:space="preserve">Sub-total End-of-Life: -0.43 kgCO2e/unit</w:t>
      </w:r>
    </w:p>
    <w:p>
      <w:pPr>
        <w:pStyle w:val="FirstParagraph"/>
      </w:pPr>
      <w:r>
        <w:rPr>
          <w:bCs/>
          <w:b/>
        </w:rPr>
        <w:t xml:space="preserve">Total Scope 3 Emissions: 4.89 + 0.01935 + 0.02623 + 9.00 - 0.43 = 13.50558 kgCO2e/unit</w:t>
      </w:r>
    </w:p>
    <w:bookmarkEnd w:id="33"/>
    <w:bookmarkEnd w:id="34"/>
    <w:bookmarkEnd w:id="35"/>
    <w:bookmarkStart w:id="36" w:name="X3bb38779a9e6e2ee86d297bab206d9825b5edcd"/>
    <w:p>
      <w:pPr>
        <w:pStyle w:val="Heading3"/>
      </w:pPr>
      <w:r>
        <w:t xml:space="preserve">Total Product Carbon Footprint (PCF) by Scope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8.52</w:t>
            </w:r>
          </w:p>
        </w:tc>
      </w:tr>
      <w:tr>
        <w:tc>
          <w:tcPr/>
          <w:p>
            <w:pPr>
              <w:pStyle w:val="Compact"/>
              <w:jc w:val="left"/>
            </w:pPr>
            <w:r>
              <w:t xml:space="preserve">Scope 3</w:t>
            </w:r>
          </w:p>
        </w:tc>
        <w:tc>
          <w:tcPr/>
          <w:p>
            <w:pPr>
              <w:pStyle w:val="Compact"/>
              <w:jc w:val="left"/>
            </w:pPr>
            <w:r>
              <w:t xml:space="preserve">13.51</w:t>
            </w:r>
          </w:p>
        </w:tc>
      </w:tr>
      <w:tr>
        <w:tc>
          <w:tcPr/>
          <w:p>
            <w:pPr>
              <w:pStyle w:val="Compact"/>
              <w:jc w:val="left"/>
            </w:pPr>
            <w:r>
              <w:rPr>
                <w:bCs/>
                <w:b/>
              </w:rPr>
              <w:t xml:space="preserve">Grand Total PCF</w:t>
            </w:r>
          </w:p>
        </w:tc>
        <w:tc>
          <w:tcPr/>
          <w:p>
            <w:pPr>
              <w:pStyle w:val="Compact"/>
              <w:jc w:val="left"/>
            </w:pPr>
            <w:r>
              <w:rPr>
                <w:bCs/>
                <w:b/>
              </w:rPr>
              <w:t xml:space="preserve">22.03</w:t>
            </w:r>
          </w:p>
        </w:tc>
      </w:tr>
    </w:tbl>
    <w:p>
      <w:pPr>
        <w:pStyle w:val="BodyText"/>
      </w:pPr>
      <w:r>
        <w:rPr>
          <w:iCs/>
          <w:i/>
        </w:rPr>
        <w:t xml:space="preserve">Note: Minor discrepancies in sums may occur due to rounding.</w:t>
      </w:r>
    </w:p>
    <w:bookmarkEnd w:id="36"/>
    <w:bookmarkStart w:id="37" w:name="lsr-update-scope-3-compliance"/>
    <w:p>
      <w:pPr>
        <w:pStyle w:val="Heading3"/>
      </w:pPr>
      <w:r>
        <w:t xml:space="preserve">2026 LSR Update &amp; Scope 3 Compliance</w:t>
      </w:r>
    </w:p>
    <w:p>
      <w:pPr>
        <w:pStyle w:val="FirstParagraph"/>
      </w:pPr>
      <w:r>
        <w:rPr>
          <w:bCs/>
          <w:b/>
        </w:rPr>
        <w:t xml:space="preserve">Land Sector and Removals (LSR) Standard (2026 Update):</w:t>
      </w:r>
      <w:r>
        <w:t xml:space="preserve"> </w:t>
      </w:r>
      <w:r>
        <w:t xml:space="preserve">The Land Sector and Removals (LSR) Standard, applicable from 2026, has been considered conceptually in this analysis. While specific land-use change data for the primary production of materials was not explicitly provided, its principles for robust accounting of biogenic carbon fluxes and land-related emissions/removals are critical. In a future analysis with more granular data, direct and indirect land use change impacts associated with material sourcing (e.g., for agricultural inputs if relevant) would be quantified and reported.</w:t>
      </w:r>
    </w:p>
    <w:p>
      <w:pPr>
        <w:pStyle w:val="BodyText"/>
      </w:pPr>
      <w:r>
        <w:rPr>
          <w:bCs/>
          <w:b/>
        </w:rPr>
        <w:t xml:space="preserve">Scope 3 Compliance:</w:t>
      </w:r>
      <w:r>
        <w:t xml:space="preserve"> </w:t>
      </w:r>
      <w:r>
        <w:t xml:space="preserve">The comprehensive analysis of upstream materials, manufacturing energy (indirectly impacting Scope 3 if supplier data were used), transportation, use phase energy consumption, and end-of-life scenarios is estimated to cover over 95% of relevant Scope 3 emissions for the product hnkrlnyxms. This aligns with the stringent 2026 GHG Protocol requirements for robust value chain reporting, focusing on key contributors as identified by the detailed input parameters.</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
    <w:p>
      <w:pPr>
        <w:pStyle w:val="Heading3"/>
      </w:pPr>
      <w:r>
        <w:t xml:space="preserve">Emission Hotspots</w:t>
      </w:r>
    </w:p>
    <w:p>
      <w:pPr>
        <w:pStyle w:val="FirstParagraph"/>
      </w:pPr>
      <w:r>
        <w:t xml:space="preserve">The analysis reveals the following major emission hotspots for hnkrlnyxms:</w:t>
      </w:r>
    </w:p>
    <w:p>
      <w:pPr>
        <w:numPr>
          <w:ilvl w:val="0"/>
          <w:numId w:val="1014"/>
        </w:numPr>
        <w:pStyle w:val="Compact"/>
      </w:pPr>
      <w:r>
        <w:rPr>
          <w:bCs/>
          <w:b/>
        </w:rPr>
        <w:t xml:space="preserve">Use Phase (9.00 kgCO2e):</w:t>
      </w:r>
      <w:r>
        <w:t xml:space="preserve"> </w:t>
      </w:r>
      <w:r>
        <w:t xml:space="preserve">The energy consumed during the product\'s 3-year lifespan significantly contributes to its overall footprint. This is primarily due to the ongoing electricity consumption.</w:t>
      </w:r>
    </w:p>
    <w:p>
      <w:pPr>
        <w:numPr>
          <w:ilvl w:val="0"/>
          <w:numId w:val="1014"/>
        </w:numPr>
        <w:pStyle w:val="Compact"/>
      </w:pPr>
      <w:r>
        <w:rPr>
          <w:bCs/>
          <w:b/>
        </w:rPr>
        <w:t xml:space="preserve">Manufacturing (8.52 kgCO2e):</w:t>
      </w:r>
      <w:r>
        <w:t xml:space="preserve"> </w:t>
      </w:r>
      <w:r>
        <w:t xml:space="preserve">Despite 30% renewable energy usage, the remaining grid electricity consumption in China, with its higher carbon intensity, makes this a substantial hotspot.</w:t>
      </w:r>
    </w:p>
    <w:p>
      <w:pPr>
        <w:numPr>
          <w:ilvl w:val="0"/>
          <w:numId w:val="1014"/>
        </w:numPr>
        <w:pStyle w:val="Compact"/>
      </w:pPr>
      <w:r>
        <w:rPr>
          <w:bCs/>
          <w:b/>
        </w:rPr>
        <w:t xml:space="preserve">Raw Material Acquisition &amp; Processing (4.89 kgCO2e):</w:t>
      </w:r>
      <w:r>
        <w:t xml:space="preserve"> </w:t>
      </w:r>
      <w:r>
        <w:t xml:space="preserve">The energy and processes involved in producing the various components, particularly the PCB and aluminum, contribute significantly.</w:t>
      </w:r>
    </w:p>
    <w:bookmarkEnd w:id="39"/>
    <w:bookmarkStart w:id="41" w:name="reliability-and-recommendations"/>
    <w:p>
      <w:pPr>
        <w:pStyle w:val="Heading3"/>
      </w:pPr>
      <w:r>
        <w:t xml:space="preserve">Reliability and Recommendations</w:t>
      </w:r>
    </w:p>
    <w:p>
      <w:pPr>
        <w:pStyle w:val="FirstParagraph"/>
      </w:pPr>
      <w:r>
        <w:t xml:space="preserve">The reliability of this report is high, given the use of specific, detailed parameters for BOM, energy, transport, and EoL data, overriding generic estimates. Emission factors from recognized sources (Ecoinvent/DEFRA equivalents) enhance the accuracy.</w:t>
      </w:r>
    </w:p>
    <w:bookmarkStart w:id="40" w:name="recommendations-for-emission-reduction"/>
    <w:p>
      <w:pPr>
        <w:pStyle w:val="Heading4"/>
      </w:pPr>
      <w:r>
        <w:t xml:space="preserve">Recommendations for Emission Reduction:</w:t>
      </w:r>
    </w:p>
    <w:p>
      <w:pPr>
        <w:numPr>
          <w:ilvl w:val="0"/>
          <w:numId w:val="1015"/>
        </w:numPr>
        <w:pStyle w:val="Compact"/>
      </w:pPr>
      <w:r>
        <w:rPr>
          <w:bCs/>
          <w:b/>
        </w:rPr>
        <w:t xml:space="preserve">Decarbonize the Use Phase:</w:t>
      </w:r>
    </w:p>
    <w:p>
      <w:pPr>
        <w:numPr>
          <w:ilvl w:val="1"/>
          <w:numId w:val="1016"/>
        </w:numPr>
        <w:pStyle w:val="Compact"/>
      </w:pPr>
      <w:r>
        <w:t xml:space="preserve">Explore options for reducing the product\'s energy consumption during its use.</w:t>
      </w:r>
    </w:p>
    <w:p>
      <w:pPr>
        <w:numPr>
          <w:ilvl w:val="1"/>
          <w:numId w:val="1016"/>
        </w:numPr>
        <w:pStyle w:val="Compact"/>
      </w:pPr>
      <w:r>
        <w:t xml:space="preserve">Encourage or enable users to power the product with renewable energy where possible (e.g., through smart energy management features or certified green electricity options).</w:t>
      </w:r>
    </w:p>
    <w:p>
      <w:pPr>
        <w:numPr>
          <w:ilvl w:val="0"/>
          <w:numId w:val="1015"/>
        </w:numPr>
        <w:pStyle w:val="Compact"/>
      </w:pPr>
      <w:r>
        <w:rPr>
          <w:bCs/>
          <w:b/>
        </w:rPr>
        <w:t xml:space="preserve">Enhance Manufacturing Efficiency &amp; Renewable Energy Adoption:</w:t>
      </w:r>
    </w:p>
    <w:p>
      <w:pPr>
        <w:numPr>
          <w:ilvl w:val="1"/>
          <w:numId w:val="1017"/>
        </w:numPr>
        <w:pStyle w:val="Compact"/>
      </w:pPr>
      <w:r>
        <w:t xml:space="preserve">Invest further in on-site renewable energy generation or procurement of certified renewable energy credits (RECs) for the manufacturing facility in China.</w:t>
      </w:r>
    </w:p>
    <w:p>
      <w:pPr>
        <w:numPr>
          <w:ilvl w:val="1"/>
          <w:numId w:val="1017"/>
        </w:numPr>
        <w:pStyle w:val="Compact"/>
      </w:pPr>
      <w:r>
        <w:t xml:space="preserve">Implement energy efficiency measures within production processes to reduce overall electricity intensity.</w:t>
      </w:r>
    </w:p>
    <w:p>
      <w:pPr>
        <w:numPr>
          <w:ilvl w:val="0"/>
          <w:numId w:val="1015"/>
        </w:numPr>
        <w:pStyle w:val="Compact"/>
      </w:pPr>
      <w:r>
        <w:rPr>
          <w:bCs/>
          <w:b/>
        </w:rPr>
        <w:t xml:space="preserve">Optimize Material Selection:</w:t>
      </w:r>
    </w:p>
    <w:p>
      <w:pPr>
        <w:numPr>
          <w:ilvl w:val="1"/>
          <w:numId w:val="1018"/>
        </w:numPr>
        <w:pStyle w:val="Compact"/>
      </w:pPr>
      <w:r>
        <w:t xml:space="preserve">Investigate alternative materials with lower inherent carbon footprints for components like the plastic casing, aluminum frame, and PCB.</w:t>
      </w:r>
    </w:p>
    <w:p>
      <w:pPr>
        <w:numPr>
          <w:ilvl w:val="1"/>
          <w:numId w:val="1018"/>
        </w:numPr>
        <w:pStyle w:val="Compact"/>
      </w:pPr>
      <w:r>
        <w:t xml:space="preserve">Increase the use of recycled content in materials, reducing the demand for virgin production.</w:t>
      </w:r>
    </w:p>
    <w:p>
      <w:pPr>
        <w:numPr>
          <w:ilvl w:val="0"/>
          <w:numId w:val="1015"/>
        </w:numPr>
        <w:pStyle w:val="Compact"/>
      </w:pPr>
      <w:r>
        <w:rPr>
          <w:bCs/>
          <w:b/>
        </w:rPr>
        <w:t xml:space="preserve">Strengthen Circular Economy Initiatives:</w:t>
      </w:r>
    </w:p>
    <w:p>
      <w:pPr>
        <w:numPr>
          <w:ilvl w:val="1"/>
          <w:numId w:val="1019"/>
        </w:numPr>
        <w:pStyle w:val="Compact"/>
      </w:pPr>
      <w:r>
        <w:t xml:space="preserve">Expand the existing take-back program and increase its return rate beyond 15%.</w:t>
      </w:r>
    </w:p>
    <w:p>
      <w:pPr>
        <w:numPr>
          <w:ilvl w:val="1"/>
          <w:numId w:val="1019"/>
        </w:numPr>
        <w:pStyle w:val="Compact"/>
      </w:pPr>
      <w:r>
        <w:t xml:space="preserve">Explore opportunities for product repair, refurbishment, or remanufacturing to extend lifespan and reduce the need for new production.</w:t>
      </w:r>
    </w:p>
    <w:p>
      <w:pPr>
        <w:numPr>
          <w:ilvl w:val="1"/>
          <w:numId w:val="1019"/>
        </w:numPr>
        <w:pStyle w:val="Compact"/>
      </w:pPr>
      <w:r>
        <w:t xml:space="preserve">Improve the design for disassemblability and material sorting to maximize the effective recyclability rate.</w:t>
      </w:r>
    </w:p>
    <w:p>
      <w:r>
        <w:pict>
          <v:rect style="width:0;height:1.5pt" o:hralign="center" o:hrstd="t" o:hr="t"/>
        </w:pict>
      </w:r>
    </w:p>
    <w:p>
      <w:pPr>
        <w:pStyle w:val="FirstParagraph"/>
      </w:pPr>
      <w:r>
        <w:t xml:space="preserve">Confidential - Internal Use Only | psxzpslwmj | dzemlifieq</w:t>
      </w:r>
    </w:p>
    <w:bookmarkEnd w:id="40"/>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hnkrlnyxms</dc:title>
  <dc:creator/>
  <dc:description>Detailed Product Carbon Footprint (PCF) analysis for hnkrlnyxms, conducted by psxzpslwmj for dzemlifieq, adhering to GHG Protocol standards and 2026 requirements.</dc:description>
  <dc:language>en</dc:language>
  <cp:keywords/>
  <dcterms:created xsi:type="dcterms:W3CDTF">2026-05-30T22:08:07Z</dcterms:created>
  <dcterms:modified xsi:type="dcterms:W3CDTF">2026-05-30T22:08:07Z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