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hmwuqjjxul</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product-hmwuqjjxul"/>
    <w:p>
      <w:pPr>
        <w:pStyle w:val="Heading2"/>
      </w:pPr>
      <w:r>
        <w:t xml:space="preserve">For Product: hmwuqjjxul</w:t>
      </w:r>
    </w:p>
    <w:p>
      <w:pPr>
        <w:pStyle w:val="FirstParagraph"/>
      </w:pPr>
      <w:r>
        <w:rPr>
          <w:bCs/>
          <w:b/>
        </w:rPr>
        <w:t xml:space="preserve">Company Name:</w:t>
      </w:r>
      <w:r>
        <w:t xml:space="preserve"> </w:t>
      </w:r>
      <w:r>
        <w:t xml:space="preserve">qxrnlzoemz</w:t>
      </w:r>
    </w:p>
    <w:p>
      <w:pPr>
        <w:pStyle w:val="BodyText"/>
      </w:pPr>
      <w:r>
        <w:rPr>
          <w:bCs/>
          <w:b/>
        </w:rPr>
        <w:t xml:space="preserve">Senior Sustainability Consultant:</w:t>
      </w:r>
      <w:r>
        <w:t xml:space="preserve"> </w:t>
      </w:r>
      <w:r>
        <w:t xml:space="preserve">dumnruppog</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and adherence to established methodologies, the results are illustrative and depend on the quality and completeness of the input data provided or assumed for this analysis.</w:t>
      </w:r>
    </w:p>
    <w:bookmarkEnd w:id="20"/>
    <w:bookmarkEnd w:id="21"/>
    <w:bookmarkStart w:id="22"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26, 2026</w:t>
      </w:r>
    </w:p>
    <w:p>
      <w:pPr>
        <w:pStyle w:val="BodyText"/>
      </w:pPr>
      <w:r>
        <w:rPr>
          <w:bCs/>
          <w:b/>
        </w:rPr>
        <w:t xml:space="preserve">Company:</w:t>
      </w:r>
      <w:r>
        <w:t xml:space="preserve"> </w:t>
      </w:r>
      <w:r>
        <w:t xml:space="preserve">qxrnlzoemz</w:t>
      </w:r>
    </w:p>
    <w:p>
      <w:pPr>
        <w:pStyle w:val="BodyText"/>
      </w:pPr>
      <w:r>
        <w:rPr>
          <w:bCs/>
          <w:b/>
        </w:rPr>
        <w:t xml:space="preserve">Product:</w:t>
      </w:r>
      <w:r>
        <w:t xml:space="preserve"> </w:t>
      </w:r>
      <w:r>
        <w:t xml:space="preserve">hmwuqjjxul</w:t>
      </w:r>
    </w:p>
    <w:p>
      <w:pPr>
        <w:pStyle w:val="BodyText"/>
      </w:pPr>
      <w:r>
        <w:rPr>
          <w:bCs/>
          <w:b/>
        </w:rPr>
        <w:t xml:space="preserve">Senior Sustainability Consultant:</w:t>
      </w:r>
      <w:r>
        <w:t xml:space="preserve"> </w:t>
      </w:r>
      <w:r>
        <w:t xml:space="preserve">dumnruppog</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product hmwuqjjxul, manufactured by qxrnlzoemz. The analysis adheres strictly to the Greenhouse Gas (GHG) Protocol, incorporating the latest 2026 updates, including the Land Sector and Removals (LSR) Standard and stringent Scope 3 compliance requirements. Conducted by Senior Sustainability Consultant dumnruppog, this assessment quantifies the total greenhouse gas emissions across the product\'s entire lifecycle, from raw material extraction to end-of-life, providing critical insights into environmental impacts and identifying potential hotspots for decarbonization. The functional unit for this analysis is 1.0 unit of hmwuqjjxul, with a system boundary set at \'factory_gate\' for initial production emissions and then extending to \'cradle-to-grave\' for a comprehensive PCF.</w:t>
      </w:r>
    </w:p>
    <w:p>
      <w:r>
        <w:pict>
          <v:rect style="width:0;height:1.5pt" o:hralign="center" o:hrstd="t" o:hr="t"/>
        </w:pict>
      </w:r>
    </w:p>
    <w:bookmarkEnd w:id="23"/>
    <w:bookmarkStart w:id="24" w:name="defining-the-scope-of-analysis"/>
    <w:p>
      <w:pPr>
        <w:pStyle w:val="Heading2"/>
      </w:pPr>
      <w:r>
        <w:t xml:space="preserve">1. Defining the Scope of Analysis</w:t>
      </w:r>
    </w:p>
    <w:p>
      <w:pPr>
        <w:pStyle w:val="FirstParagraph"/>
      </w:pPr>
      <w:r>
        <w:t xml:space="preserve">The first step in any robust PCF analysis is clearly defining its scope, ensuring consistency, transparency, and comparability of results. This analysis adheres to the following parameters:</w:t>
      </w:r>
    </w:p>
    <w:p>
      <w:pPr>
        <w:numPr>
          <w:ilvl w:val="0"/>
          <w:numId w:val="1001"/>
        </w:numPr>
        <w:pStyle w:val="Compact"/>
      </w:pPr>
      <w:r>
        <w:rPr>
          <w:bCs/>
          <w:b/>
        </w:rPr>
        <w:t xml:space="preserve">Functional Unit:</w:t>
      </w:r>
      <w:r>
        <w:t xml:space="preserve"> </w:t>
      </w:r>
      <w:r>
        <w:t xml:space="preserve">1.0 unit of hmwuqjjxul. This unit serves as the reference basis to which all input and output data are normalized.</w:t>
      </w:r>
    </w:p>
    <w:p>
      <w:pPr>
        <w:numPr>
          <w:ilvl w:val="0"/>
          <w:numId w:val="1001"/>
        </w:numPr>
        <w:pStyle w:val="Compact"/>
      </w:pPr>
      <w:r>
        <w:rPr>
          <w:bCs/>
          <w:b/>
        </w:rPr>
        <w:t xml:space="preserve">System Boundary:</w:t>
      </w:r>
      <w:r>
        <w:t xml:space="preserve"> </w:t>
      </w:r>
      <w:r>
        <w:t xml:space="preserve">Cradle-to-grave, with an initial focus on \'factory_gate\' for direct production and subsequently expanding to include the entire value chain. This encompasses material acquisition, manufacturing, transportation, use phase, and end-of-life scenarios.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(for upstream/downstream logistics and energy mix assumptions)</w:t>
      </w:r>
    </w:p>
    <w:p>
      <w:pPr>
        <w:numPr>
          <w:ilvl w:val="0"/>
          <w:numId w:val="1001"/>
        </w:numPr>
        <w:pStyle w:val="Compact"/>
      </w:pPr>
      <w:r>
        <w:rPr>
          <w:bCs/>
          <w:b/>
        </w:rPr>
        <w:t xml:space="preserve">Accounting Standard:</w:t>
      </w:r>
      <w:r>
        <w:t xml:space="preserve"> </w:t>
      </w:r>
      <w:r>
        <w:t xml:space="preserve">GHG Protocol, specifically applying the Product Standard, Corporate Standard, and Corporate Value Chain (Scope 3) Accounting and Reporting Standard.</w:t>
      </w:r>
    </w:p>
    <w:p>
      <w:pPr>
        <w:numPr>
          <w:ilvl w:val="0"/>
          <w:numId w:val="1001"/>
        </w:numPr>
        <w:pStyle w:val="Compact"/>
      </w:pPr>
      <w:r>
        <w:rPr>
          <w:bCs/>
          <w:b/>
        </w:rPr>
        <w:t xml:space="preserve">Allocation:</w:t>
      </w:r>
      <w:r>
        <w:t xml:space="preserve"> </w:t>
      </w:r>
      <w:r>
        <w:t xml:space="preserve">Emissions are allocated to the functional unit based on mass for materials and energy consumption directly attributable to the product. For multi-product processes, economic allocation or mass allocation is used where appropriate, consistent with GHG Protocol guidance.</w:t>
      </w:r>
    </w:p>
    <w:p>
      <w:r>
        <w:pict>
          <v:rect style="width:0;height:1.5pt" o:hralign="center" o:hrstd="t" o:hr="t"/>
        </w:pict>
      </w:r>
    </w:p>
    <w:bookmarkEnd w:id="24"/>
    <w:bookmarkStart w:id="27" w:name="Xdc7d71688751a01fbfb61430bf1a99efe08331e"/>
    <w:p>
      <w:pPr>
        <w:pStyle w:val="Heading2"/>
      </w:pPr>
      <w:r>
        <w:t xml:space="preserve">2. Mapping the Lifecycle and Inventory Stages (LCI)</w:t>
      </w:r>
    </w:p>
    <w:p>
      <w:pPr>
        <w:pStyle w:val="FirstParagraph"/>
      </w:pPr>
      <w:r>
        <w:t xml:space="preserve">The lifecycle of hmwuqjjxul has been meticulously mapped, categorizing emissions into the five primary stages of a product\'s existence. This detailed mapping facilitates the identification of emission hotspots.</w:t>
      </w:r>
    </w:p>
    <w:bookmarkStart w:id="25" w:name="Xf419002864873e9af2a722194d8b851166b333f"/>
    <w:p>
      <w:pPr>
        <w:pStyle w:val="Heading3"/>
      </w:pPr>
      <w:r>
        <w:t xml:space="preserve">Detailed Bill of Materials (BOM) for hmwuqjjxul</w:t>
      </w:r>
    </w:p>
    <w:p>
      <w:pPr>
        <w:pStyle w:val="FirstParagraph"/>
      </w:pPr>
      <w:r>
        <w:t xml:space="preserve">The following Bill of Materials (BOM) represents the key components and materials used in the production of hmwuqjjxul. Due to the placeholder nature of the input `ykhqvqyj`, illustrative data in the specified format has been used for calculation purposes to demonstrate the methodology. In a real-world scenario, this table would be populated with the specific data provided.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Aluminum 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w:t>
            </w:r>
          </w:p>
        </w:tc>
      </w:tr>
      <w:tr>
        <w:tc>
          <w:tcPr/>
          <w:p>
            <w:pPr>
              <w:pStyle w:val="Compact"/>
              <w:jc w:val="left"/>
            </w:pPr>
            <w:r>
              <w:t xml:space="preserve">M002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w:t>
            </w:r>
          </w:p>
        </w:tc>
      </w:tr>
      <w:tr>
        <w:tc>
          <w:tcPr/>
          <w:p>
            <w:pPr>
              <w:pStyle w:val="Compact"/>
              <w:jc w:val="left"/>
            </w:pPr>
            <w:r>
              <w:t xml:space="preserve">M003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1</w:t>
            </w:r>
          </w:p>
        </w:tc>
        <w:tc>
          <w:tcPr/>
          <w:p>
            <w:pPr>
              <w:pStyle w:val="Compact"/>
              <w:jc w:val="left"/>
            </w:pPr>
            <w:r>
              <w:t xml:space="preserve">unit</w:t>
            </w:r>
          </w:p>
        </w:tc>
        <w:tc>
          <w:tcPr/>
          <w:p>
            <w:pPr>
              <w:pStyle w:val="Compact"/>
              <w:jc w:val="left"/>
            </w:pPr>
            <w:r>
              <w:t xml:space="preserve">2.5</w:t>
            </w:r>
          </w:p>
        </w:tc>
        <w:tc>
          <w:tcPr/>
          <w:p>
            <w:pPr>
              <w:pStyle w:val="Compact"/>
              <w:jc w:val="left"/>
            </w:pPr>
            <w:r>
              <w:t xml:space="preserve">2.5</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Paper Production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1.5</w:t>
            </w:r>
          </w:p>
        </w:tc>
        <w:tc>
          <w:tcPr/>
          <w:p>
            <w:pPr>
              <w:pStyle w:val="Compact"/>
              <w:jc w:val="left"/>
            </w:pPr>
            <w:r>
              <w:t xml:space="preserve">0.45</w:t>
            </w:r>
          </w:p>
        </w:tc>
      </w:tr>
      <w:tr>
        <w:tc>
          <w:tcPr/>
          <w:p>
            <w:pPr>
              <w:pStyle w:val="Compact"/>
              <w:jc w:val="left"/>
            </w:pPr>
            <w:r>
              <w:t xml:space="preserve">M006</w:t>
            </w:r>
          </w:p>
        </w:tc>
        <w:tc>
          <w:tcPr/>
          <w:p>
            <w:pPr>
              <w:pStyle w:val="Compact"/>
              <w:jc w:val="left"/>
            </w:pPr>
            <w:r>
              <w:t xml:space="preserve">Screws</w:t>
            </w:r>
          </w:p>
        </w:tc>
        <w:tc>
          <w:tcPr/>
          <w:p>
            <w:pPr>
              <w:pStyle w:val="Compact"/>
              <w:jc w:val="left"/>
            </w:pPr>
            <w:r>
              <w:t xml:space="preserve">Metal</w:t>
            </w:r>
          </w:p>
        </w:tc>
        <w:tc>
          <w:tcPr/>
          <w:p>
            <w:pPr>
              <w:pStyle w:val="Compact"/>
              <w:jc w:val="left"/>
            </w:pPr>
            <w:r>
              <w:t xml:space="preserve">Steel 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w:t>
            </w:r>
          </w:p>
        </w:tc>
        <w:tc>
          <w:tcPr/>
          <w:p>
            <w:pPr>
              <w:pStyle w:val="Compact"/>
              <w:jc w:val="left"/>
            </w:pPr>
            <w:r>
              <w:t xml:space="preserve">0.1</w:t>
            </w:r>
          </w:p>
        </w:tc>
      </w:tr>
      <w:tr>
        <w:tc>
          <w:tcPr>
            <w:gridSpan w:val="7"/>
          </w:tcPr>
          <w:p>
            <w:pPr>
              <w:pStyle w:val="Compact"/>
              <w:jc w:val="right"/>
            </w:pPr>
            <w:r>
              <w:rPr>
                <w:bCs/>
                <w:b/>
              </w:rPr>
              <w:t xml:space="preserve">Total Material Carbon Impact:</w:t>
            </w:r>
          </w:p>
        </w:tc>
        <w:tc>
          <w:tcPr/>
          <w:p>
            <w:pPr>
              <w:pStyle w:val="Compact"/>
              <w:jc w:val="left"/>
            </w:pPr>
            <w:r>
              <w:rPr>
                <w:bCs/>
                <w:b/>
              </w:rPr>
              <w:t xml:space="preserve">7.65 kgCO2e</w:t>
            </w:r>
          </w:p>
        </w:tc>
      </w:tr>
    </w:tbl>
    <w:bookmarkEnd w:id="25"/>
    <w:bookmarkStart w:id="26" w:name="energy-inputs-for-production"/>
    <w:p>
      <w:pPr>
        <w:pStyle w:val="Heading3"/>
      </w:pPr>
      <w:r>
        <w:t xml:space="preserve">Energy Inputs for Production</w:t>
      </w:r>
    </w:p>
    <w:p>
      <w:pPr>
        <w:pStyle w:val="FirstParagraph"/>
      </w:pPr>
      <w:r>
        <w:t xml:space="preserve">The production phase requires significant energy inputs. For hmwuqjjxul, the energy intensity is</w:t>
      </w:r>
      <w:r>
        <w:t xml:space="preserve"> </w:t>
      </w:r>
      <w:r>
        <w:rPr>
          <w:bCs/>
          <w:b/>
        </w:rPr>
        <w:t xml:space="preserve">pgyunotvtj kWh/unit</w:t>
      </w:r>
      <w:r>
        <w:t xml:space="preserve"> </w:t>
      </w:r>
      <w:r>
        <w:t xml:space="preserve">(illustrative: 10 kWh/unit), with</w:t>
      </w:r>
      <w:r>
        <w:t xml:space="preserve"> </w:t>
      </w:r>
      <w:r>
        <w:rPr>
          <w:bCs/>
          <w:b/>
        </w:rPr>
        <w:t xml:space="preserve">vgyhumjjnd%</w:t>
      </w:r>
      <w:r>
        <w:t xml:space="preserve"> </w:t>
      </w:r>
      <w:r>
        <w:t xml:space="preserve">(illustrative: 50%) of this energy sourced from renewable sources. The remaining energy is assumed to be from the local grid mix in China.</w:t>
      </w:r>
    </w:p>
    <w:p>
      <w:r>
        <w:pict>
          <v:rect style="width:0;height:1.5pt" o:hralign="center" o:hrstd="t" o:hr="t"/>
        </w:pict>
      </w:r>
    </w:p>
    <w:bookmarkEnd w:id="26"/>
    <w:bookmarkEnd w:id="27"/>
    <w:bookmarkStart w:id="28" w:name="X97bbffcdf2fad208c7b8a82f132c605af580884"/>
    <w:p>
      <w:pPr>
        <w:pStyle w:val="Heading2"/>
      </w:pPr>
      <w:r>
        <w:t xml:space="preserve">3. Data Collection: Primary and Secondary Data Points</w:t>
      </w:r>
    </w:p>
    <w:p>
      <w:pPr>
        <w:pStyle w:val="FirstParagraph"/>
      </w:pPr>
      <w:r>
        <w:t xml:space="preserve">Accurate data collection is fundamental for a reliable PCF. Both primary and secondary data sources are utilized in this analysis.</w:t>
      </w:r>
    </w:p>
    <w:p>
      <w:pPr>
        <w:numPr>
          <w:ilvl w:val="0"/>
          <w:numId w:val="1003"/>
        </w:numPr>
        <w:pStyle w:val="Compact"/>
      </w:pPr>
      <w:r>
        <w:rPr>
          <w:bCs/>
          <w:b/>
        </w:rPr>
        <w:t xml:space="preserve">Primary Data (Illustrative based on provided parameters):</w:t>
      </w:r>
    </w:p>
    <w:p>
      <w:pPr>
        <w:numPr>
          <w:ilvl w:val="1"/>
          <w:numId w:val="1004"/>
        </w:numPr>
        <w:pStyle w:val="Compact"/>
      </w:pPr>
      <w:r>
        <w:rPr>
          <w:bCs/>
          <w:b/>
        </w:rPr>
        <w:t xml:space="preserve">Detailed Bill of Materials (BOM):</w:t>
      </w:r>
      <w:r>
        <w:t xml:space="preserve"> </w:t>
      </w:r>
      <w:r>
        <w:t xml:space="preserve">The illustrative BOM provided in Section 2 (derived from \'ykhqvqyj\' placeholder) serves as the primary data for material quantities.</w:t>
      </w:r>
    </w:p>
    <w:p>
      <w:pPr>
        <w:numPr>
          <w:ilvl w:val="1"/>
          <w:numId w:val="1004"/>
        </w:numPr>
        <w:pStyle w:val="Compact"/>
      </w:pPr>
      <w:r>
        <w:rPr>
          <w:bCs/>
          <w:b/>
        </w:rPr>
        <w:t xml:space="preserve">Transport Mode:</w:t>
      </w:r>
      <w:r>
        <w:t xml:space="preserve"> </w:t>
      </w:r>
      <w:r>
        <w:t xml:space="preserve">Illustrative "Select Mode" (e.g., Ocean Freight and Road Transport).</w:t>
      </w:r>
    </w:p>
    <w:p>
      <w:pPr>
        <w:numPr>
          <w:ilvl w:val="1"/>
          <w:numId w:val="1004"/>
        </w:numPr>
        <w:pStyle w:val="Compact"/>
      </w:pPr>
      <w:r>
        <w:rPr>
          <w:bCs/>
          <w:b/>
        </w:rPr>
        <w:t xml:space="preserve">Transport Distance:</w:t>
      </w:r>
      <w:r>
        <w:t xml:space="preserve"> </w:t>
      </w:r>
      <w:r>
        <w:t xml:space="preserve">Illustrative "enkxkxskde" (e.g., 10,000 km ocean, 500 km road).</w:t>
      </w:r>
    </w:p>
    <w:p>
      <w:pPr>
        <w:numPr>
          <w:ilvl w:val="1"/>
          <w:numId w:val="1004"/>
        </w:numPr>
        <w:pStyle w:val="Compact"/>
      </w:pPr>
      <w:r>
        <w:rPr>
          <w:bCs/>
          <w:b/>
        </w:rPr>
        <w:t xml:space="preserve">Last-Mile Delivery Channel:</w:t>
      </w:r>
      <w:r>
        <w:t xml:space="preserve"> </w:t>
      </w:r>
      <w:r>
        <w:t xml:space="preserve">Illustrative "Delivery Type" (e.g., Parcel Service, 50 km).</w:t>
      </w:r>
    </w:p>
    <w:p>
      <w:pPr>
        <w:numPr>
          <w:ilvl w:val="1"/>
          <w:numId w:val="1004"/>
        </w:numPr>
        <w:pStyle w:val="Compact"/>
      </w:pPr>
      <w:r>
        <w:rPr>
          <w:bCs/>
          <w:b/>
        </w:rPr>
        <w:t xml:space="preserve">Renewable Energy Usage:</w:t>
      </w:r>
      <w:r>
        <w:t xml:space="preserve"> </w:t>
      </w:r>
      <w:r>
        <w:t xml:space="preserve">Illustrative "vgyhumjjnd" (e.g., 50%).</w:t>
      </w:r>
    </w:p>
    <w:p>
      <w:pPr>
        <w:numPr>
          <w:ilvl w:val="1"/>
          <w:numId w:val="1004"/>
        </w:numPr>
        <w:pStyle w:val="Compact"/>
      </w:pPr>
      <w:r>
        <w:rPr>
          <w:bCs/>
          <w:b/>
        </w:rPr>
        <w:t xml:space="preserve">Energy Intensity (kWh/unit):</w:t>
      </w:r>
      <w:r>
        <w:t xml:space="preserve"> </w:t>
      </w:r>
      <w:r>
        <w:t xml:space="preserve">Illustrative "pgyunotvtj" (e.g., 10 kWh/unit).</w:t>
      </w:r>
    </w:p>
    <w:p>
      <w:pPr>
        <w:numPr>
          <w:ilvl w:val="1"/>
          <w:numId w:val="1004"/>
        </w:numPr>
        <w:pStyle w:val="Compact"/>
      </w:pPr>
      <w:r>
        <w:rPr>
          <w:bCs/>
          <w:b/>
        </w:rPr>
        <w:t xml:space="preserve">Product Lifespan:</w:t>
      </w:r>
      <w:r>
        <w:t xml:space="preserve"> </w:t>
      </w:r>
      <w:r>
        <w:t xml:space="preserve">Illustrative "qpmmrsmorq" (e.g., 5 years).</w:t>
      </w:r>
    </w:p>
    <w:p>
      <w:pPr>
        <w:numPr>
          <w:ilvl w:val="1"/>
          <w:numId w:val="1004"/>
        </w:numPr>
        <w:pStyle w:val="Compact"/>
      </w:pPr>
      <w:r>
        <w:rPr>
          <w:bCs/>
          <w:b/>
        </w:rPr>
        <w:t xml:space="preserve">Energy Consumption in Use:</w:t>
      </w:r>
      <w:r>
        <w:t xml:space="preserve"> </w:t>
      </w:r>
      <w:r>
        <w:t xml:space="preserve">Illustrative "ghiwexvptz" (e.g., 5 kWh/year).</w:t>
      </w:r>
    </w:p>
    <w:p>
      <w:pPr>
        <w:numPr>
          <w:ilvl w:val="1"/>
          <w:numId w:val="1004"/>
        </w:numPr>
        <w:pStyle w:val="Compact"/>
      </w:pPr>
      <w:r>
        <w:rPr>
          <w:bCs/>
          <w:b/>
        </w:rPr>
        <w:t xml:space="preserve">Recyclability Percentage:</w:t>
      </w:r>
      <w:r>
        <w:t xml:space="preserve"> </w:t>
      </w:r>
      <w:r>
        <w:t xml:space="preserve">Illustrative "szleiemqyx" (e.g., 70%).</w:t>
      </w:r>
    </w:p>
    <w:p>
      <w:pPr>
        <w:numPr>
          <w:ilvl w:val="1"/>
          <w:numId w:val="1004"/>
        </w:numPr>
        <w:pStyle w:val="Compact"/>
      </w:pPr>
      <w:r>
        <w:rPr>
          <w:bCs/>
          <w:b/>
        </w:rPr>
        <w:t xml:space="preserve">Circular/Take-back Programs:</w:t>
      </w:r>
      <w:r>
        <w:t xml:space="preserve"> </w:t>
      </w:r>
      <w:r>
        <w:t xml:space="preserve">Illustrative "xeqsfkumnf" (e.g., "Product Take-back Program").</w:t>
      </w:r>
    </w:p>
    <w:p>
      <w:pPr>
        <w:numPr>
          <w:ilvl w:val="0"/>
          <w:numId w:val="1003"/>
        </w:numPr>
        <w:pStyle w:val="Compact"/>
      </w:pPr>
      <w:r>
        <w:rPr>
          <w:bCs/>
          <w:b/>
        </w:rPr>
        <w:t xml:space="preserve">Secondary Data:</w:t>
      </w:r>
    </w:p>
    <w:p>
      <w:pPr>
        <w:numPr>
          <w:ilvl w:val="1"/>
          <w:numId w:val="1005"/>
        </w:numPr>
        <w:pStyle w:val="Compact"/>
      </w:pPr>
      <w:r>
        <w:rPr>
          <w:bCs/>
          <w:b/>
        </w:rPr>
        <w:t xml:space="preserve">Emission Factors:</w:t>
      </w:r>
      <w:r>
        <w:t xml:space="preserve"> </w:t>
      </w:r>
      <w:r>
        <w:t xml:space="preserve">Industry-standard emission factors are crucial for converting activity data into CO2e. For this analysis, representative emission factors are drawn from recognized databases like Ecoinvent and DEFRA.</w:t>
      </w:r>
    </w:p>
    <w:p>
      <w:pPr>
        <w:numPr>
          <w:ilvl w:val="2"/>
          <w:numId w:val="1006"/>
        </w:numPr>
        <w:pStyle w:val="Compact"/>
      </w:pPr>
      <w:r>
        <w:t xml:space="preserve">Electricity (China Grid Mix): 0.6 kgCO2e/kWh</w:t>
      </w:r>
    </w:p>
    <w:p>
      <w:pPr>
        <w:numPr>
          <w:ilvl w:val="2"/>
          <w:numId w:val="1006"/>
        </w:numPr>
        <w:pStyle w:val="Compact"/>
      </w:pPr>
      <w:r>
        <w:t xml:space="preserve">Electricity (Renewable): 0.05 kgCO2e/kWh (accounting for infrastructure emissions)</w:t>
      </w:r>
    </w:p>
    <w:p>
      <w:pPr>
        <w:numPr>
          <w:ilvl w:val="2"/>
          <w:numId w:val="1006"/>
        </w:numPr>
        <w:pStyle w:val="Compact"/>
      </w:pPr>
      <w:r>
        <w:t xml:space="preserve">Electricity (European Grid Mix for Use Phase): 0.3 kgCO2e/kWh</w:t>
      </w:r>
    </w:p>
    <w:p>
      <w:pPr>
        <w:numPr>
          <w:ilvl w:val="2"/>
          <w:numId w:val="1006"/>
        </w:numPr>
        <w:pStyle w:val="Compact"/>
      </w:pPr>
      <w:r>
        <w:t xml:space="preserve">Ocean Freight: 0.005 kgCO2e/tonne-km</w:t>
      </w:r>
    </w:p>
    <w:p>
      <w:pPr>
        <w:numPr>
          <w:ilvl w:val="2"/>
          <w:numId w:val="1006"/>
        </w:numPr>
        <w:pStyle w:val="Compact"/>
      </w:pPr>
      <w:r>
        <w:t xml:space="preserve">Road Transport (Heavy Duty Truck): 0.09 kgCO2e/tonne-km</w:t>
      </w:r>
    </w:p>
    <w:p>
      <w:pPr>
        <w:numPr>
          <w:ilvl w:val="2"/>
          <w:numId w:val="1006"/>
        </w:numPr>
        <w:pStyle w:val="Compact"/>
      </w:pPr>
      <w:r>
        <w:t xml:space="preserve">Last-Mile Parcel Delivery: 0.05 kgCO2e/package (for a typical short-distance delivery)</w:t>
      </w:r>
    </w:p>
    <w:p>
      <w:pPr>
        <w:numPr>
          <w:ilvl w:val="2"/>
          <w:numId w:val="1006"/>
        </w:numPr>
        <w:pStyle w:val="Compact"/>
      </w:pPr>
      <w:r>
        <w:t xml:space="preserve">Landfill (for non-recycled waste): 0.2 kgCO2e/kg</w:t>
      </w:r>
    </w:p>
    <w:p>
      <w:pPr>
        <w:numPr>
          <w:ilvl w:val="2"/>
          <w:numId w:val="1006"/>
        </w:numPr>
        <w:pStyle w:val="Compact"/>
      </w:pPr>
      <w:r>
        <w:t xml:space="preserve">Recycling Credit (for avoided virgin material production): -0.5 kgCO2e/kg</w:t>
      </w:r>
    </w:p>
    <w:p>
      <w:r>
        <w:pict>
          <v:rect style="width:0;height:1.5pt" o:hralign="center" o:hrstd="t" o:hr="t"/>
        </w:pict>
      </w:r>
    </w:p>
    <w:bookmarkEnd w:id="28"/>
    <w:bookmarkStart w:id="40" w:name="X3720d7d0541b3a6e3c473bd4daa188ddb828856"/>
    <w:p>
      <w:pPr>
        <w:pStyle w:val="Heading2"/>
      </w:pPr>
      <w:r>
        <w:t xml:space="preserve">4. Calculating Emissions (Activity * Emission Factor = CO2e)</w:t>
      </w:r>
    </w:p>
    <w:p>
      <w:pPr>
        <w:pStyle w:val="FirstParagraph"/>
      </w:pPr>
      <w:r>
        <w:t xml:space="preserve">Emissions are calculated for each stage of the product lifecycle and categorized according to the GHG Protocol\'s Scope 1, Scope 2, and Scope 3 definitions. The calculations below are illustrative, using the placeholder data provided and typical emission factors.</w:t>
      </w:r>
    </w:p>
    <w:bookmarkStart w:id="29" w:name="ghg-protocol-scopes-and-2026-updates"/>
    <w:p>
      <w:pPr>
        <w:pStyle w:val="Heading3"/>
      </w:pPr>
      <w:r>
        <w:t xml:space="preserve">GHG Protocol Scopes and 2026 Updates</w:t>
      </w:r>
    </w:p>
    <w:p>
      <w:pPr>
        <w:pStyle w:val="FirstParagraph"/>
      </w:pPr>
      <w:r>
        <w:t xml:space="preserve">This analysis adheres to the GHG Protocol\'s framework:</w:t>
      </w:r>
    </w:p>
    <w:p>
      <w:pPr>
        <w:numPr>
          <w:ilvl w:val="0"/>
          <w:numId w:val="1007"/>
        </w:numPr>
        <w:pStyle w:val="Compact"/>
      </w:pPr>
      <w:r>
        <w:rPr>
          <w:bCs/>
          <w:b/>
        </w:rPr>
        <w:t xml:space="preserve">Scope 1: Direct Emissions</w:t>
      </w:r>
      <w:r>
        <w:t xml:space="preserve"> </w:t>
      </w:r>
      <w:r>
        <w:t xml:space="preserve">from owned or controlled sources (e.g., manufacturing processes not involving purchased electricity).</w:t>
      </w:r>
    </w:p>
    <w:p>
      <w:pPr>
        <w:numPr>
          <w:ilvl w:val="0"/>
          <w:numId w:val="1007"/>
        </w:numPr>
        <w:pStyle w:val="Compact"/>
      </w:pPr>
      <w:r>
        <w:rPr>
          <w:bCs/>
          <w:b/>
        </w:rPr>
        <w:t xml:space="preserve">Scope 2: Indirect Emissions</w:t>
      </w:r>
      <w:r>
        <w:t xml:space="preserve"> </w:t>
      </w:r>
      <w:r>
        <w:t xml:space="preserve">from the generation of purchased energy (e.g., electricity, heat).</w:t>
      </w:r>
    </w:p>
    <w:p>
      <w:pPr>
        <w:numPr>
          <w:ilvl w:val="0"/>
          <w:numId w:val="1007"/>
        </w:numPr>
        <w:pStyle w:val="Compact"/>
      </w:pPr>
      <w:r>
        <w:rPr>
          <w:bCs/>
          <w:b/>
        </w:rPr>
        <w:t xml:space="preserve">Scope 3: Other Indirect Emissions</w:t>
      </w:r>
      <w:r>
        <w:t xml:space="preserve"> </w:t>
      </w:r>
      <w:r>
        <w:t xml:space="preserve">from the value chain, both upstream and downstream. This scope typically represents the largest portion of a product\'s footprint.</w:t>
      </w:r>
    </w:p>
    <w:p>
      <w:pPr>
        <w:pStyle w:val="FirstParagraph"/>
      </w:pPr>
      <w:r>
        <w:t xml:space="preserve">In line with the</w:t>
      </w:r>
      <w:r>
        <w:t xml:space="preserve"> </w:t>
      </w:r>
      <w:r>
        <w:rPr>
          <w:bCs/>
          <w:b/>
        </w:rPr>
        <w:t xml:space="preserve">2026 GHG Protocol Scope 3 revisions</w:t>
      </w:r>
      <w:r>
        <w:t xml:space="preserve">, this report aims for at least 95% coverage of all relevant Scope 3 emissions. This ensures a comprehensive and financially auditable reporting system, moving beyond "best-effort" estimates towards mandatory data disaggregation by source type (primary vs. secondary data).</w:t>
      </w:r>
    </w:p>
    <w:bookmarkEnd w:id="29"/>
    <w:bookmarkStart w:id="30" w:name="X7ef73fe3d39a8d84fae696b42f814aa0d860ec0"/>
    <w:p>
      <w:pPr>
        <w:pStyle w:val="Heading3"/>
      </w:pPr>
      <w:r>
        <w:t xml:space="preserve">2026 LSR Update: Land Sector and Removals Standard</w:t>
      </w:r>
    </w:p>
    <w:p>
      <w:pPr>
        <w:pStyle w:val="FirstParagraph"/>
      </w:pPr>
      <w:r>
        <w:t xml:space="preserve">The Land Sector and Removals (LSR) Standard, released on January 30, 2026, and effective January 1, 2027, has been applied where relevant. This standard provides a framework for accounting for land-based GHG emissions, CO2 removals, and technological CO2 removals. While this version of the LSR Standard does not include forest carbon accounting, the overall approach to land-use impacts is considered.</w:t>
      </w:r>
    </w:p>
    <w:bookmarkEnd w:id="30"/>
    <w:bookmarkStart w:id="38" w:name="Xe6343f48deaf9f497ac9582ce605d3a53bf7176"/>
    <w:p>
      <w:pPr>
        <w:pStyle w:val="Heading3"/>
      </w:pPr>
      <w:r>
        <w:t xml:space="preserve">Illustrative PCF Calculation Breakdown (per 1.0 unit of hmwuqjjxul)</w:t>
      </w:r>
    </w:p>
    <w:bookmarkStart w:id="31" w:name="Xccf3e6bd2f25a7426acc7ca94192216cdcae6e8"/>
    <w:p>
      <w:pPr>
        <w:pStyle w:val="Heading4"/>
      </w:pPr>
      <w:r>
        <w:t xml:space="preserve">a. Materials Acquisition &amp; Pre-processing (Scope 3 - Upstream)</w:t>
      </w:r>
    </w:p>
    <w:p>
      <w:pPr>
        <w:pStyle w:val="FirstParagraph"/>
      </w:pPr>
      <w:r>
        <w:t xml:space="preserve">Based on the illustrative Bill of Materials (BOM) detailed in Section 2:</w:t>
      </w:r>
    </w:p>
    <w:p>
      <w:pPr>
        <w:numPr>
          <w:ilvl w:val="0"/>
          <w:numId w:val="1008"/>
        </w:numPr>
        <w:pStyle w:val="Compact"/>
      </w:pPr>
      <w:r>
        <w:rPr>
          <w:bCs/>
          <w:b/>
        </w:rPr>
        <w:t xml:space="preserve">Total Material Carbon Impact:</w:t>
      </w:r>
      <w:r>
        <w:t xml:space="preserve"> </w:t>
      </w:r>
      <w:r>
        <w:t xml:space="preserve">7.65 kgCO2e</w:t>
      </w:r>
    </w:p>
    <w:bookmarkEnd w:id="31"/>
    <w:bookmarkStart w:id="32" w:name="X5edfaf73ae37e9cbc7c83aed108ce97e16025f1"/>
    <w:p>
      <w:pPr>
        <w:pStyle w:val="Heading4"/>
      </w:pPr>
      <w:r>
        <w:t xml:space="preserve">b. Production (Manufacturing) Phase (Scope 1 &amp; Scope 2)</w:t>
      </w:r>
    </w:p>
    <w:p>
      <w:pPr>
        <w:pStyle w:val="FirstParagraph"/>
      </w:pPr>
      <w:r>
        <w:t xml:space="preserve">Using the provided energy customization data:</w:t>
      </w:r>
    </w:p>
    <w:p>
      <w:pPr>
        <w:numPr>
          <w:ilvl w:val="0"/>
          <w:numId w:val="1009"/>
        </w:numPr>
        <w:pStyle w:val="Compact"/>
      </w:pPr>
      <w:r>
        <w:t xml:space="preserve">Energy Intensity (pgyunotvtj): 10 kWh/unit</w:t>
      </w:r>
    </w:p>
    <w:p>
      <w:pPr>
        <w:numPr>
          <w:ilvl w:val="0"/>
          <w:numId w:val="1009"/>
        </w:numPr>
        <w:pStyle w:val="Compact"/>
      </w:pPr>
      <w:r>
        <w:t xml:space="preserve">Renewable Energy Usage (vgyhumjjnd): 50%</w:t>
      </w:r>
    </w:p>
    <w:p>
      <w:pPr>
        <w:numPr>
          <w:ilvl w:val="0"/>
          <w:numId w:val="1009"/>
        </w:numPr>
        <w:pStyle w:val="Compact"/>
      </w:pPr>
      <w:r>
        <w:t xml:space="preserve">Non-renewable electricity: 10 kWh * (1 - 0.50) = 5 kWh</w:t>
      </w:r>
    </w:p>
    <w:p>
      <w:pPr>
        <w:numPr>
          <w:ilvl w:val="0"/>
          <w:numId w:val="1009"/>
        </w:numPr>
        <w:pStyle w:val="Compact"/>
      </w:pPr>
      <w:r>
        <w:t xml:space="preserve">Emissions from non-renewable electricity (China Grid): 5 kWh * 0.6 kgCO2e/kWh = 3.0 kgCO2e (Scope 2)</w:t>
      </w:r>
    </w:p>
    <w:p>
      <w:pPr>
        <w:numPr>
          <w:ilvl w:val="0"/>
          <w:numId w:val="1009"/>
        </w:numPr>
        <w:pStyle w:val="Compact"/>
      </w:pPr>
      <w:r>
        <w:t xml:space="preserve">Renewable electricity: 10 kWh * 0.50 = 5 kWh</w:t>
      </w:r>
    </w:p>
    <w:p>
      <w:pPr>
        <w:numPr>
          <w:ilvl w:val="0"/>
          <w:numId w:val="1009"/>
        </w:numPr>
        <w:pStyle w:val="Compact"/>
      </w:pPr>
      <w:r>
        <w:t xml:space="preserve">Emissions from renewable electricity (infrastructure): 5 kWh * 0.05 kgCO2e/kWh = 0.25 kgCO2e (Scope 2, or relevant Scope 3 for purchased renewable energy depending on contract type)</w:t>
      </w:r>
    </w:p>
    <w:p>
      <w:pPr>
        <w:numPr>
          <w:ilvl w:val="0"/>
          <w:numId w:val="1009"/>
        </w:numPr>
        <w:pStyle w:val="Compact"/>
      </w:pPr>
      <w:r>
        <w:rPr>
          <w:bCs/>
          <w:b/>
        </w:rPr>
        <w:t xml:space="preserve">Total Production Energy Emissions:</w:t>
      </w:r>
      <w:r>
        <w:t xml:space="preserve"> </w:t>
      </w:r>
      <w:r>
        <w:t xml:space="preserve">3.25 kgCO2e</w:t>
      </w:r>
    </w:p>
    <w:p>
      <w:pPr>
        <w:pStyle w:val="FirstParagraph"/>
      </w:pPr>
      <w:r>
        <w:rPr>
          <w:iCs/>
          <w:i/>
        </w:rPr>
        <w:t xml:space="preserve">Note: Any direct fuel combustion on-site would be categorized under Scope 1. For this analysis, production emissions are primarily from purchased electricity (Scope 2).</w:t>
      </w:r>
    </w:p>
    <w:bookmarkEnd w:id="32"/>
    <w:bookmarkStart w:id="35" w:name="X41af2ba99addd86db78d87423f94a223e49e540"/>
    <w:p>
      <w:pPr>
        <w:pStyle w:val="Heading4"/>
      </w:pPr>
      <w:r>
        <w:t xml:space="preserve">c. Transport (Scope 3 - Upstream &amp; Downstream)</w:t>
      </w:r>
    </w:p>
    <w:p>
      <w:pPr>
        <w:pStyle w:val="FirstParagraph"/>
      </w:pPr>
      <w:r>
        <w:t xml:space="preserve">Incorporating specific logistics data (illustrative: product weight 1 kg, converted to 0.001 tonne):</w:t>
      </w:r>
    </w:p>
    <w:bookmarkStart w:id="33" w:name="Xd613a5cb9ef16a8f306bae8b7885bf3de24baec"/>
    <w:p>
      <w:pPr>
        <w:pStyle w:val="Heading5"/>
      </w:pPr>
      <w:r>
        <w:t xml:space="preserve">Upstream Transport (Inbound - Raw materials to factory):</w:t>
      </w:r>
    </w:p>
    <w:p>
      <w:pPr>
        <w:numPr>
          <w:ilvl w:val="0"/>
          <w:numId w:val="1010"/>
        </w:numPr>
        <w:pStyle w:val="Compact"/>
      </w:pPr>
      <w:r>
        <w:t xml:space="preserve">Ocean Freight (China to Europe): 0.001 tonne * 10,000 km * 0.005 kgCO2e/tonne-km = 0.05 kgCO2e</w:t>
      </w:r>
    </w:p>
    <w:p>
      <w:pPr>
        <w:numPr>
          <w:ilvl w:val="0"/>
          <w:numId w:val="1010"/>
        </w:numPr>
        <w:pStyle w:val="Compact"/>
      </w:pPr>
      <w:r>
        <w:t xml:space="preserve">Road Transport (Europe, Port to Factory): 0.001 tonne * 500 km * 0.09 kgCO2e/tonne-km = 0.045 kgCO2e</w:t>
      </w:r>
    </w:p>
    <w:p>
      <w:pPr>
        <w:numPr>
          <w:ilvl w:val="0"/>
          <w:numId w:val="1010"/>
        </w:numPr>
        <w:pStyle w:val="Compact"/>
      </w:pPr>
      <w:r>
        <w:rPr>
          <w:bCs/>
          <w:b/>
        </w:rPr>
        <w:t xml:space="preserve">Total Upstream Transport Emissions:</w:t>
      </w:r>
      <w:r>
        <w:t xml:space="preserve"> </w:t>
      </w:r>
      <w:r>
        <w:t xml:space="preserve">0.095 kgCO2e</w:t>
      </w:r>
    </w:p>
    <w:bookmarkEnd w:id="33"/>
    <w:bookmarkStart w:id="34" w:name="Xbd8fbbc4d605af06a5a8120d8ac3564ce9d7808"/>
    <w:p>
      <w:pPr>
        <w:pStyle w:val="Heading5"/>
      </w:pPr>
      <w:r>
        <w:t xml:space="preserve">Downstream Transport (Outbound - Factory to Customer):</w:t>
      </w:r>
    </w:p>
    <w:p>
      <w:pPr>
        <w:numPr>
          <w:ilvl w:val="0"/>
          <w:numId w:val="1011"/>
        </w:numPr>
        <w:pStyle w:val="Compact"/>
      </w:pPr>
      <w:r>
        <w:t xml:space="preserve">Road Transport (Factory to Distribution Center): 0.001 tonne * 200 km * 0.09 kgCO2e/tonne-km = 0.018 kgCO2e</w:t>
      </w:r>
    </w:p>
    <w:p>
      <w:pPr>
        <w:numPr>
          <w:ilvl w:val="0"/>
          <w:numId w:val="1011"/>
        </w:numPr>
        <w:pStyle w:val="Compact"/>
      </w:pPr>
      <w:r>
        <w:t xml:space="preserve">Last-Mile Delivery (Delivery Type: Parcel Service, 50 km): 1 unit * 0.05 kgCO2e/package = 0.05 kgCO2e</w:t>
      </w:r>
    </w:p>
    <w:p>
      <w:pPr>
        <w:numPr>
          <w:ilvl w:val="0"/>
          <w:numId w:val="1011"/>
        </w:numPr>
        <w:pStyle w:val="Compact"/>
      </w:pPr>
      <w:r>
        <w:rPr>
          <w:bCs/>
          <w:b/>
        </w:rPr>
        <w:t xml:space="preserve">Total Downstream Transport Emissions:</w:t>
      </w:r>
      <w:r>
        <w:t xml:space="preserve"> </w:t>
      </w:r>
      <w:r>
        <w:t xml:space="preserve">0.068 kgCO2e</w:t>
      </w:r>
    </w:p>
    <w:p>
      <w:pPr>
        <w:numPr>
          <w:ilvl w:val="0"/>
          <w:numId w:val="1012"/>
        </w:numPr>
        <w:pStyle w:val="Compact"/>
      </w:pPr>
      <w:r>
        <w:rPr>
          <w:bCs/>
          <w:b/>
        </w:rPr>
        <w:t xml:space="preserve">Overall Transport Emissions:</w:t>
      </w:r>
      <w:r>
        <w:t xml:space="preserve"> </w:t>
      </w:r>
      <w:r>
        <w:t xml:space="preserve">0.095 + 0.068 = 0.163 kgCO2e</w:t>
      </w:r>
    </w:p>
    <w:bookmarkEnd w:id="34"/>
    <w:bookmarkEnd w:id="35"/>
    <w:bookmarkStart w:id="36" w:name="d.-use-phase-scope-3---downstream"/>
    <w:p>
      <w:pPr>
        <w:pStyle w:val="Heading4"/>
      </w:pPr>
      <w:r>
        <w:t xml:space="preserve">d. Use Phase (Scope 3 - Downstream)</w:t>
      </w:r>
    </w:p>
    <w:p>
      <w:pPr>
        <w:pStyle w:val="FirstParagraph"/>
      </w:pPr>
      <w:r>
        <w:t xml:space="preserve">Expanded calculation using specific durability and consumption data:</w:t>
      </w:r>
    </w:p>
    <w:p>
      <w:pPr>
        <w:numPr>
          <w:ilvl w:val="0"/>
          <w:numId w:val="1013"/>
        </w:numPr>
        <w:pStyle w:val="Compact"/>
      </w:pPr>
      <w:r>
        <w:t xml:space="preserve">Product Lifespan (qpmmrsmorq): 5 years</w:t>
      </w:r>
    </w:p>
    <w:p>
      <w:pPr>
        <w:numPr>
          <w:ilvl w:val="0"/>
          <w:numId w:val="1013"/>
        </w:numPr>
        <w:pStyle w:val="Compact"/>
      </w:pPr>
      <w:r>
        <w:t xml:space="preserve">Energy Consumption in Use (ghiwexvptz): 5 kWh/year</w:t>
      </w:r>
    </w:p>
    <w:p>
      <w:pPr>
        <w:numPr>
          <w:ilvl w:val="0"/>
          <w:numId w:val="1013"/>
        </w:numPr>
        <w:pStyle w:val="Compact"/>
      </w:pPr>
      <w:r>
        <w:t xml:space="preserve">Total Energy in Use: 5 kWh/year * 5 years = 25 kWh</w:t>
      </w:r>
    </w:p>
    <w:p>
      <w:pPr>
        <w:numPr>
          <w:ilvl w:val="0"/>
          <w:numId w:val="1013"/>
        </w:numPr>
        <w:pStyle w:val="Compact"/>
      </w:pPr>
      <w:r>
        <w:t xml:space="preserve">Emissions from Use Phase (European Grid Mix): 25 kWh * 0.3 kgCO2e/kWh = 7.5 kgCO2e</w:t>
      </w:r>
    </w:p>
    <w:p>
      <w:pPr>
        <w:numPr>
          <w:ilvl w:val="0"/>
          <w:numId w:val="1013"/>
        </w:numPr>
        <w:pStyle w:val="Compact"/>
      </w:pPr>
      <w:r>
        <w:rPr>
          <w:bCs/>
          <w:b/>
        </w:rPr>
        <w:t xml:space="preserve">Total Use Phase Emissions:</w:t>
      </w:r>
      <w:r>
        <w:t xml:space="preserve"> </w:t>
      </w:r>
      <w:r>
        <w:t xml:space="preserve">7.5 kgCO2e</w:t>
      </w:r>
    </w:p>
    <w:bookmarkEnd w:id="36"/>
    <w:bookmarkStart w:id="37" w:name="X69a14fea1ff725dbd9a7b3dfac8b50c6c4f2189"/>
    <w:p>
      <w:pPr>
        <w:pStyle w:val="Heading4"/>
      </w:pPr>
      <w:r>
        <w:t xml:space="preserve">e. End-of-Life (EoL) Scenarios (Scope 3 - Downstream)</w:t>
      </w:r>
    </w:p>
    <w:p>
      <w:pPr>
        <w:pStyle w:val="FirstParagraph"/>
      </w:pPr>
      <w:r>
        <w:t xml:space="preserve">Incorporating circular economy impacts with illustrative product weight of 1 kg for EoL calculation:</w:t>
      </w:r>
    </w:p>
    <w:p>
      <w:pPr>
        <w:numPr>
          <w:ilvl w:val="0"/>
          <w:numId w:val="1014"/>
        </w:numPr>
        <w:pStyle w:val="Compact"/>
      </w:pPr>
      <w:r>
        <w:t xml:space="preserve">Recyclability Percentage (szleiemqyx): 70%</w:t>
      </w:r>
    </w:p>
    <w:p>
      <w:pPr>
        <w:numPr>
          <w:ilvl w:val="0"/>
          <w:numId w:val="1014"/>
        </w:numPr>
        <w:pStyle w:val="Compact"/>
      </w:pPr>
      <w:r>
        <w:t xml:space="preserve">Amount Recycled: 1 kg * 0.70 = 0.7 kg</w:t>
      </w:r>
    </w:p>
    <w:p>
      <w:pPr>
        <w:numPr>
          <w:ilvl w:val="0"/>
          <w:numId w:val="1014"/>
        </w:numPr>
        <w:pStyle w:val="Compact"/>
      </w:pPr>
      <w:r>
        <w:t xml:space="preserve">Recycling Benefit/Credit: 0.7 kg * -0.5 kgCO2e/kg = -0.35 kgCO2e</w:t>
      </w:r>
    </w:p>
    <w:p>
      <w:pPr>
        <w:numPr>
          <w:ilvl w:val="0"/>
          <w:numId w:val="1014"/>
        </w:numPr>
        <w:pStyle w:val="Compact"/>
      </w:pPr>
      <w:r>
        <w:t xml:space="preserve">Amount Landfilled: 1 kg * (1 - 0.70) = 0.3 kg</w:t>
      </w:r>
    </w:p>
    <w:p>
      <w:pPr>
        <w:numPr>
          <w:ilvl w:val="0"/>
          <w:numId w:val="1014"/>
        </w:numPr>
        <w:pStyle w:val="Compact"/>
      </w:pPr>
      <w:r>
        <w:t xml:space="preserve">Emissions from Landfill: 0.3 kg * 0.2 kgCO2e/kg = 0.06 kgCO2e</w:t>
      </w:r>
    </w:p>
    <w:p>
      <w:pPr>
        <w:numPr>
          <w:ilvl w:val="0"/>
          <w:numId w:val="1014"/>
        </w:numPr>
        <w:pStyle w:val="Compact"/>
      </w:pPr>
      <w:r>
        <w:t xml:space="preserve">Circular/Take-back Programs (xeqsfkumnf): "Product Take-back Program" (assumed to facilitate the high recyclability)</w:t>
      </w:r>
    </w:p>
    <w:p>
      <w:pPr>
        <w:numPr>
          <w:ilvl w:val="0"/>
          <w:numId w:val="1014"/>
        </w:numPr>
        <w:pStyle w:val="Compact"/>
      </w:pPr>
      <w:r>
        <w:rPr>
          <w:bCs/>
          <w:b/>
        </w:rPr>
        <w:t xml:space="preserve">Total End-of-Life Emissions:</w:t>
      </w:r>
      <w:r>
        <w:t xml:space="preserve"> </w:t>
      </w:r>
      <w:r>
        <w:t xml:space="preserve">0.06 kgCO2e - 0.35 kgCO2e = -0.29 kgCO2e (Net benefit)</w:t>
      </w:r>
    </w:p>
    <w:bookmarkEnd w:id="37"/>
    <w:bookmarkEnd w:id="38"/>
    <w:bookmarkStart w:id="39" w:name="Xb978d0e9ec4ee52d7a3f3cb44a23ea3b7cee6b3"/>
    <w:p>
      <w:pPr>
        <w:pStyle w:val="Heading3"/>
      </w:pPr>
      <w:r>
        <w:t xml:space="preserve">Summary of Illustrative Product Carbon Footprint (PCF) for hmwuqjjxul</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Illustrative Emissions (kgCO2e per unit)</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7.65</w:t>
            </w:r>
          </w:p>
        </w:tc>
      </w:tr>
      <w:tr>
        <w:tc>
          <w:tcPr/>
          <w:p>
            <w:pPr>
              <w:pStyle w:val="Compact"/>
              <w:jc w:val="left"/>
            </w:pPr>
            <w:r>
              <w:t xml:space="preserve">Production (Manufacturing) Energy</w:t>
            </w:r>
          </w:p>
        </w:tc>
        <w:tc>
          <w:tcPr/>
          <w:p>
            <w:pPr>
              <w:pStyle w:val="Compact"/>
              <w:jc w:val="left"/>
            </w:pPr>
            <w:r>
              <w:t xml:space="preserve">Scope 2</w:t>
            </w:r>
          </w:p>
        </w:tc>
        <w:tc>
          <w:tcPr/>
          <w:p>
            <w:pPr>
              <w:pStyle w:val="Compact"/>
              <w:jc w:val="left"/>
            </w:pPr>
            <w:r>
              <w:t xml:space="preserve">3.25</w:t>
            </w:r>
          </w:p>
        </w:tc>
      </w:tr>
      <w:tr>
        <w:tc>
          <w:tcPr/>
          <w:p>
            <w:pPr>
              <w:pStyle w:val="Compact"/>
              <w:jc w:val="left"/>
            </w:pPr>
            <w:r>
              <w:t xml:space="preserve">Transport (Upstream &amp; Downstream)</w:t>
            </w:r>
          </w:p>
        </w:tc>
        <w:tc>
          <w:tcPr/>
          <w:p>
            <w:pPr>
              <w:pStyle w:val="Compact"/>
              <w:jc w:val="left"/>
            </w:pPr>
            <w:r>
              <w:t xml:space="preserve">Scope 3 (Upstream &amp; Downstream)</w:t>
            </w:r>
          </w:p>
        </w:tc>
        <w:tc>
          <w:tcPr/>
          <w:p>
            <w:pPr>
              <w:pStyle w:val="Compact"/>
              <w:jc w:val="left"/>
            </w:pPr>
            <w:r>
              <w:t xml:space="preserve">0.163</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7.50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-0.29</w:t>
            </w:r>
          </w:p>
        </w:tc>
      </w:tr>
      <w:tr>
        <w:tc>
          <w:tcPr>
            <w:gridSpan w:val="2"/>
          </w:tcPr>
          <w:p>
            <w:pPr>
              <w:pStyle w:val="Compact"/>
              <w:jc w:val="right"/>
            </w:pPr>
            <w:r>
              <w:rPr>
                <w:bCs/>
                <w:b/>
              </w:rPr>
              <w:t xml:space="preserve">Total Illustrative PCF:</w:t>
            </w:r>
          </w:p>
        </w:tc>
        <w:tc>
          <w:tcPr/>
          <w:p>
            <w:pPr>
              <w:pStyle w:val="Compact"/>
              <w:jc w:val="left"/>
            </w:pPr>
            <w:r>
              <w:rPr>
                <w:bCs/>
                <w:b/>
              </w:rPr>
              <w:t xml:space="preserve">18.273 kgCO2e</w:t>
            </w:r>
          </w:p>
        </w:tc>
      </w:tr>
    </w:tbl>
    <w:p>
      <w:r>
        <w:pict>
          <v:rect style="width:0;height:1.5pt" o:hralign="center" o:hrstd="t" o:hr="t"/>
        </w:pict>
      </w:r>
    </w:p>
    <w:bookmarkEnd w:id="39"/>
    <w:bookmarkEnd w:id="40"/>
    <w:bookmarkStart w:id="43" w:name="review-report-hotspots-and-reliability"/>
    <w:p>
      <w:pPr>
        <w:pStyle w:val="Heading2"/>
      </w:pPr>
      <w:r>
        <w:t xml:space="preserve">5. Review &amp; Report: Hotspots and Reliability</w:t>
      </w:r>
    </w:p>
    <w:bookmarkStart w:id="41" w:name="emission-hotspots"/>
    <w:p>
      <w:pPr>
        <w:pStyle w:val="Heading3"/>
      </w:pPr>
      <w:r>
        <w:t xml:space="preserve">Emission Hotspots</w:t>
      </w:r>
    </w:p>
    <w:p>
      <w:pPr>
        <w:pStyle w:val="FirstParagraph"/>
      </w:pPr>
      <w:r>
        <w:t xml:space="preserve">Based on the illustrative analysis, the primary emission hotspots for hmwuqjjxul are:</w:t>
      </w:r>
    </w:p>
    <w:p>
      <w:pPr>
        <w:numPr>
          <w:ilvl w:val="0"/>
          <w:numId w:val="1015"/>
        </w:numPr>
        <w:pStyle w:val="Compact"/>
      </w:pPr>
      <w:r>
        <w:rPr>
          <w:bCs/>
          <w:b/>
        </w:rPr>
        <w:t xml:space="preserve">Materials Acquisition &amp; Pre-processing (7.65 kgCO2e):</w:t>
      </w:r>
      <w:r>
        <w:t xml:space="preserve"> </w:t>
      </w:r>
      <w:r>
        <w:t xml:space="preserve">The extraction and processing of raw materials, particularly aluminum and circuit board components, contribute significantly to the overall footprint. This highlights the importance of sustainable sourcing and material efficiency.</w:t>
      </w:r>
    </w:p>
    <w:p>
      <w:pPr>
        <w:numPr>
          <w:ilvl w:val="0"/>
          <w:numId w:val="1015"/>
        </w:numPr>
        <w:pStyle w:val="Compact"/>
      </w:pPr>
      <w:r>
        <w:rPr>
          <w:bCs/>
          <w:b/>
        </w:rPr>
        <w:t xml:space="preserve">Use Phase (7.50 kgCO2e):</w:t>
      </w:r>
      <w:r>
        <w:t xml:space="preserve"> </w:t>
      </w:r>
      <w:r>
        <w:t xml:space="preserve">The energy consumed during the product\'s operational lifespan is another major contributor, indicating that energy efficiency during product design and user behavior are critical factors.</w:t>
      </w:r>
    </w:p>
    <w:p>
      <w:pPr>
        <w:numPr>
          <w:ilvl w:val="0"/>
          <w:numId w:val="1015"/>
        </w:numPr>
        <w:pStyle w:val="Compact"/>
      </w:pPr>
      <w:r>
        <w:rPr>
          <w:bCs/>
          <w:b/>
        </w:rPr>
        <w:t xml:space="preserve">Production Energy (3.25 kgCO2e):</w:t>
      </w:r>
      <w:r>
        <w:t xml:space="preserve"> </w:t>
      </w:r>
      <w:r>
        <w:t xml:space="preserve">While 50% renewable energy usage helps, the remaining grid electricity still represents a notable portion, emphasizing the need for continued transition to 100% renewable energy in manufacturing facilities.</w:t>
      </w:r>
    </w:p>
    <w:bookmarkEnd w:id="41"/>
    <w:bookmarkStart w:id="42" w:name="reliability-of-data"/>
    <w:p>
      <w:pPr>
        <w:pStyle w:val="Heading3"/>
      </w:pPr>
      <w:r>
        <w:t xml:space="preserve">Reliability of Data</w:t>
      </w:r>
    </w:p>
    <w:p>
      <w:pPr>
        <w:pStyle w:val="FirstParagraph"/>
      </w:pPr>
      <w:r>
        <w:t xml:space="preserve">The reliability of this PCF analysis is contingent upon the accuracy of the input data. For this report, specific parameters were placeholders, and thus illustrative values were assumed. In a real assessment:</w:t>
      </w:r>
    </w:p>
    <w:p>
      <w:pPr>
        <w:numPr>
          <w:ilvl w:val="0"/>
          <w:numId w:val="1016"/>
        </w:numPr>
        <w:pStyle w:val="Compact"/>
      </w:pPr>
      <w:r>
        <w:rPr>
          <w:bCs/>
          <w:b/>
        </w:rPr>
        <w:t xml:space="preserve">Primary Data:</w:t>
      </w:r>
      <w:r>
        <w:t xml:space="preserve"> </w:t>
      </w:r>
      <w:r>
        <w:t xml:space="preserve">Collecting accurate, specific data from suppliers for BOM items, actual transport distances, and energy consumption is paramount. The GHG Protocol\'s 2026 Scope 3 revisions emphasize mandatory data disaggregation by source type, encouraging the use of primary data over secondary estimates.</w:t>
      </w:r>
    </w:p>
    <w:p>
      <w:pPr>
        <w:numPr>
          <w:ilvl w:val="0"/>
          <w:numId w:val="1016"/>
        </w:numPr>
        <w:pStyle w:val="Compact"/>
      </w:pPr>
      <w:r>
        <w:rPr>
          <w:bCs/>
          <w:b/>
        </w:rPr>
        <w:t xml:space="preserve">Secondary Data:</w:t>
      </w:r>
      <w:r>
        <w:t xml:space="preserve"> </w:t>
      </w:r>
      <w:r>
        <w:t xml:space="preserve">Emission factors from databases like Ecoinvent and DEFRA provide robust, scientifically-backed values. Ensuring the geographical relevance and recency of these factors is crucial for accuracy.</w:t>
      </w:r>
    </w:p>
    <w:p>
      <w:pPr>
        <w:numPr>
          <w:ilvl w:val="0"/>
          <w:numId w:val="1016"/>
        </w:numPr>
        <w:pStyle w:val="Compact"/>
      </w:pPr>
      <w:r>
        <w:rPr>
          <w:bCs/>
          <w:b/>
        </w:rPr>
        <w:t xml:space="preserve">Assumptions:</w:t>
      </w:r>
      <w:r>
        <w:t xml:space="preserve"> </w:t>
      </w:r>
      <w:r>
        <w:t xml:space="preserve">Any assumptions made (e.g., product weight for transport, average grid mixes) would be clearly documented and sensitivity analyses performed to understand their impact on the final PCF.</w:t>
      </w:r>
    </w:p>
    <w:p>
      <w:r>
        <w:pict>
          <v:rect style="width:0;height:1.5pt" o:hralign="center" o:hrstd="t" o:hr="t"/>
        </w:pict>
      </w:r>
    </w:p>
    <w:bookmarkEnd w:id="42"/>
    <w:bookmarkEnd w:id="43"/>
    <w:bookmarkStart w:id="45" w:name="conclusion-and-recommendations"/>
    <w:p>
      <w:pPr>
        <w:pStyle w:val="Heading2"/>
      </w:pPr>
      <w:r>
        <w:t xml:space="preserve">Conclusion and Recommendations</w:t>
      </w:r>
    </w:p>
    <w:p>
      <w:pPr>
        <w:pStyle w:val="FirstParagraph"/>
      </w:pPr>
      <w:r>
        <w:t xml:space="preserve">The Product Carbon Footprint for hmwuqjjxul, based on this illustrative analysis, is</w:t>
      </w:r>
      <w:r>
        <w:t xml:space="preserve"> </w:t>
      </w:r>
      <w:r>
        <w:rPr>
          <w:bCs/>
          <w:b/>
        </w:rPr>
        <w:t xml:space="preserve">18.273 kgCO2e per unit</w:t>
      </w:r>
      <w:r>
        <w:t xml:space="preserve">. The most significant environmental impacts are concentrated in the materials acquisition and pre-processing, followed closely by the product\'s use phase.</w:t>
      </w:r>
    </w:p>
    <w:p>
      <w:pPr>
        <w:pStyle w:val="BodyText"/>
      </w:pPr>
      <w:r>
        <w:t xml:space="preserve">As Senior Sustainability Consultant dumnruppog, I recommend the following actions for qxrnlzoemz:</w:t>
      </w:r>
    </w:p>
    <w:p>
      <w:pPr>
        <w:numPr>
          <w:ilvl w:val="0"/>
          <w:numId w:val="1017"/>
        </w:numPr>
        <w:pStyle w:val="Compact"/>
      </w:pPr>
      <w:r>
        <w:rPr>
          <w:bCs/>
          <w:b/>
        </w:rPr>
        <w:t xml:space="preserve">Supply Chain Engagement:</w:t>
      </w:r>
      <w:r>
        <w:t xml:space="preserve"> </w:t>
      </w:r>
      <w:r>
        <w:t xml:space="preserve">Prioritize engagement with material suppliers to gather primary, high-quality data on their processes and emissions. Explore opportunities for using lower-carbon materials or engaging with suppliers committed to decarbonization.</w:t>
      </w:r>
    </w:p>
    <w:p>
      <w:pPr>
        <w:numPr>
          <w:ilvl w:val="0"/>
          <w:numId w:val="1017"/>
        </w:numPr>
        <w:pStyle w:val="Compact"/>
      </w:pPr>
      <w:r>
        <w:rPr>
          <w:bCs/>
          <w:b/>
        </w:rPr>
        <w:t xml:space="preserve">Product Design for Longevity and Efficiency:</w:t>
      </w:r>
      <w:r>
        <w:t xml:space="preserve"> </w:t>
      </w:r>
      <w:r>
        <w:t xml:space="preserve">Focus on designing hmwuqjjxul for enhanced energy efficiency during its use phase and extending its overall lifespan (qpmmrsmorq). This directly addresses the significant impact from energy consumption in use (ghiwexvptz).</w:t>
      </w:r>
    </w:p>
    <w:p>
      <w:pPr>
        <w:numPr>
          <w:ilvl w:val="0"/>
          <w:numId w:val="1017"/>
        </w:numPr>
        <w:pStyle w:val="Compact"/>
      </w:pPr>
      <w:r>
        <w:rPr>
          <w:bCs/>
          <w:b/>
        </w:rPr>
        <w:t xml:space="preserve">Transition to Renewable Energy:</w:t>
      </w:r>
      <w:r>
        <w:t xml:space="preserve"> </w:t>
      </w:r>
      <w:r>
        <w:t xml:space="preserve">While 50% renewable energy usage (vgyhumjjnd) is a good start, aim for 100% renewable energy at manufacturing facilities in China and across the entire value chain to minimize Scope 2 emissions.</w:t>
      </w:r>
    </w:p>
    <w:p>
      <w:pPr>
        <w:numPr>
          <w:ilvl w:val="0"/>
          <w:numId w:val="1017"/>
        </w:numPr>
        <w:pStyle w:val="Compact"/>
      </w:pPr>
      <w:r>
        <w:rPr>
          <w:bCs/>
          <w:b/>
        </w:rPr>
        <w:t xml:space="preserve">Optimize Logistics:</w:t>
      </w:r>
      <w:r>
        <w:t xml:space="preserve"> </w:t>
      </w:r>
      <w:r>
        <w:t xml:space="preserve">Investigate opportunities to optimize transport modes and routes to reduce distances (enkxkxskde) and reliance on high-emission transport types, particularly for long-haul and last-mile delivery.</w:t>
      </w:r>
    </w:p>
    <w:p>
      <w:pPr>
        <w:numPr>
          <w:ilvl w:val="0"/>
          <w:numId w:val="1017"/>
        </w:numPr>
        <w:pStyle w:val="Compact"/>
      </w:pPr>
      <w:r>
        <w:rPr>
          <w:bCs/>
          <w:b/>
        </w:rPr>
        <w:t xml:space="preserve">Enhance Circularity:</w:t>
      </w:r>
      <w:r>
        <w:t xml:space="preserve"> </w:t>
      </w:r>
      <w:r>
        <w:t xml:space="preserve">Leverage and expand the existing "Product Take-back Program" (xeqsfkumnf) to maximize the recyclability percentage (szleiemqyx) beyond 70%, ensuring materials are effectively recovered and re-integrated into production loops, thus generating greater recycling benefits.</w:t>
      </w:r>
    </w:p>
    <w:p>
      <w:pPr>
        <w:numPr>
          <w:ilvl w:val="0"/>
          <w:numId w:val="1017"/>
        </w:numPr>
        <w:pStyle w:val="Compact"/>
      </w:pPr>
      <w:r>
        <w:rPr>
          <w:bCs/>
          <w:b/>
        </w:rPr>
        <w:t xml:space="preserve">Continuous Monitoring and Data Improvement:</w:t>
      </w:r>
      <w:r>
        <w:t xml:space="preserve"> </w:t>
      </w:r>
      <w:r>
        <w:t xml:space="preserve">Implement systems for ongoing collection of primary data for all PCF stages. Regular updates to the PCF analysis, supported by auditable data, will be crucial for tracking progress and ensuring compliance with evolving standards, including the mandatory 95% Scope 3 coverage.</w:t>
      </w:r>
    </w:p>
    <w:p>
      <w:pPr>
        <w:pStyle w:val="FirstParagraph"/>
      </w:pPr>
      <w:r>
        <w:t xml:space="preserve">By focusing on these areas, qxrnlzoemz can significantly reduce the environmental impact of hmwuqjjxul, strengthen its sustainability credentials, and align with the evolving landscape of global climate reporting.</w:t>
      </w:r>
    </w:p>
    <w:p>
      <w:r>
        <w:pict>
          <v:rect style="width:0;height:1.5pt" o:hralign="center" o:hrstd="t" o:hr="t"/>
        </w:pict>
      </w:r>
    </w:p>
    <w:p>
      <w:pPr>
        <w:pStyle w:val="FirstParagraph"/>
      </w:pPr>
      <w:r>
        <w:t xml:space="preserve">Confidential - Internal Use Only | Page</w:t>
      </w:r>
      <w:r>
        <w:t xml:space="preserve"> </w:t>
      </w:r>
      <w:bookmarkStart w:id="44" w:name="page-num"/>
      <w:bookmarkEnd w:id="44"/>
    </w:p>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hmwuqjjxul</dc:title>
  <dc:creator/>
  <dc:description>High-detail Product Carbon Footprint (PCF) analysis report for hmwuqjjxul by qxrnlzoemz, adhering to GHG Protocol and 2026 updates, conducted by Senior Sustainability Consultant dumnruppog.</dc:description>
  <dc:language>en</dc:language>
  <cp:keywords/>
  <dcterms:created xsi:type="dcterms:W3CDTF">2026-07-15T09:36:40Z</dcterms:created>
  <dcterms:modified xsi:type="dcterms:W3CDTF">2026-07-15T09:36:40Z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