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hldzzxgeiv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t xml:space="preserve">hldzzxgeiv</w:t>
      </w:r>
    </w:p>
    <w:p>
      <w:pPr>
        <w:pStyle w:val="BodyText"/>
      </w:pPr>
      <w:r>
        <w:rPr>
          <w:bCs/>
          <w:b/>
        </w:rPr>
        <w:t xml:space="preserve">Company Name:</w:t>
      </w:r>
      <w:r>
        <w:t xml:space="preserve"> </w:t>
      </w:r>
      <w:r>
        <w:t xml:space="preserve">ogkqfkhmtp</w:t>
      </w:r>
    </w:p>
    <w:p>
      <w:pPr>
        <w:pStyle w:val="BodyText"/>
      </w:pPr>
      <w:r>
        <w:rPr>
          <w:bCs/>
          <w:b/>
        </w:rPr>
        <w:t xml:space="preserve">Senior Sustainability Consultant:</w:t>
      </w:r>
      <w:r>
        <w:t xml:space="preserve"> </w:t>
      </w:r>
      <w:r>
        <w:t xml:space="preserve">otyirmgpwy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availability. This report should be used for internal strategic planning and sustainability initiatives.</w:t>
      </w:r>
    </w:p>
    <w:bookmarkEnd w:id="20"/>
    <w:bookmarkStart w:id="21" w:name="product-carbon-footprint-analysis"/>
    <w:p>
      <w:pPr>
        <w:pStyle w:val="Heading1"/>
      </w:pPr>
      <w:r>
        <w:t xml:space="preserve">Product Carbon Footprint Analysis</w:t>
      </w:r>
    </w:p>
    <w:p>
      <w:pPr>
        <w:pStyle w:val="FirstParagraph"/>
      </w:pPr>
      <w:r>
        <w:t xml:space="preserve">Product:</w:t>
      </w:r>
      <w:r>
        <w:t xml:space="preserve"> </w:t>
      </w:r>
      <w:r>
        <w:t xml:space="preserve">hldzzxgeiv</w:t>
      </w:r>
    </w:p>
    <w:p>
      <w:pPr>
        <w:pStyle w:val="BodyText"/>
      </w:pPr>
      <w:r>
        <w:t xml:space="preserve">Generated Date:</w: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w:t>
      </w:r>
      <w:r>
        <w:t xml:space="preserve"> </w:t>
      </w:r>
      <w:r>
        <w:t xml:space="preserve">hldzzxgeiv</w:t>
      </w:r>
      <w:r>
        <w:t xml:space="preserve">, manufactured by</w:t>
      </w:r>
      <w:r>
        <w:t xml:space="preserve"> </w:t>
      </w:r>
      <w:r>
        <w:t xml:space="preserve">ogkqfkhmtp</w:t>
      </w:r>
      <w:r>
        <w:t xml:space="preserve">. The analysis was conducted by Senior Sustainability Consultant</w:t>
      </w:r>
      <w:r>
        <w:t xml:space="preserve"> </w:t>
      </w:r>
      <w:r>
        <w:t xml:space="preserve">otyirmgpwy</w:t>
      </w:r>
      <w:r>
        <w:t xml:space="preserve">, adhering strictly to the</w:t>
      </w:r>
      <w:r>
        <w:t xml:space="preserve"> </w:t>
      </w:r>
      <w:r>
        <w:t xml:space="preserve">GHG Protocol</w:t>
      </w:r>
      <w:r>
        <w:t xml:space="preserve"> </w:t>
      </w:r>
      <w:r>
        <w:t xml:space="preserve">Corporate Standard, with specific attention to the 2026 Land Sector and Removals (LSR) update and ensuring at least 95% Scope 3 coverage. The primary goal is to quantify the greenhouse gas (GHG) emissions associated with the product\'s entire lifecycle, from material acquisition to end-of-life, providing insights into emission hotspots and opportunities for reduction.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t xml:space="preserve">hldzzxgeiv</w:t>
      </w:r>
      <w:r>
        <w:t xml:space="preserve"> </w:t>
      </w:r>
      <w:r>
        <w:t xml:space="preserve">was calculated following the five-step methodology as per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t xml:space="preserve">1.0 unit</w:t>
      </w:r>
      <w:r>
        <w:t xml:space="preserve"> </w:t>
      </w:r>
      <w:r>
        <w:t xml:space="preserve">of</w:t>
      </w:r>
      <w:r>
        <w:t xml:space="preserve"> </w:t>
      </w:r>
      <w:r>
        <w:t xml:space="preserve">hldzzxgeiv</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PCF analysis is</w:t>
      </w:r>
      <w:r>
        <w:t xml:space="preserve"> </w:t>
      </w:r>
      <w:r>
        <w:t xml:space="preserve">"factory_gate"</w:t>
      </w:r>
      <w:r>
        <w:t xml:space="preserve">, encompassing all processes from raw material extraction (cradle) through manufacturing (gate). Emissions from the use phase and end-of-life are also included to provide a comprehensive "cradle-to-grave" assessment, in line with GHG Protocol requirements for product standards.</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t xml:space="preserve">hldzzxgeiv</w:t>
      </w:r>
      <w:r>
        <w:t xml:space="preserve"> </w:t>
      </w:r>
      <w:r>
        <w:t xml:space="preserve">is</w:t>
      </w:r>
      <w:r>
        <w:t xml:space="preserve"> </w:t>
      </w:r>
      <w:r>
        <w:t xml:space="preserve">China</w:t>
      </w:r>
      <w:r>
        <w:t xml:space="preserve">. The supply chain focus is</w:t>
      </w:r>
      <w:r>
        <w:t xml:space="preserve"> </w:t>
      </w:r>
      <w:r>
        <w:t xml:space="preserve">Europe Focused</w:t>
      </w:r>
      <w:r>
        <w:t xml:space="preserve">, indicating that a significant portion of upstream materials and processes are sourced or occur within Europe.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t xml:space="preserve">GHG Protocol Product Standard</w:t>
      </w:r>
      <w:r>
        <w:t xml:space="preserve">, ensuring emissions are categorized into Scope 1 (direct emissions), Scope 2 (indirect emissions from purchased energy), and Scope 3 (all other indirect emissions in the value chain). Furthermore, the analysis incorporates considerations from the</w:t>
      </w:r>
      <w:r>
        <w:t xml:space="preserve"> </w:t>
      </w:r>
      <w:r>
        <w:t xml:space="preserve">2026 Land Sector and Removals (LSR) Standard update</w:t>
      </w:r>
      <w:r>
        <w:t xml:space="preserve"> </w:t>
      </w:r>
      <w:r>
        <w:t xml:space="preserve">for relevant land use and carbon removal impacts, and aims for a</w:t>
      </w:r>
      <w:r>
        <w:t xml:space="preserve"> </w:t>
      </w:r>
      <w:r>
        <w:t xml:space="preserve">95% coverage for Scope 3 reporting</w:t>
      </w:r>
      <w:r>
        <w:t xml:space="preserve"> </w:t>
      </w:r>
      <w:r>
        <w:t xml:space="preserve">as per upcoming 2026 requirements.</w:t>
      </w:r>
    </w:p>
    <w:bookmarkEnd w:id="26"/>
    <w:bookmarkStart w:id="27" w:name="allocation"/>
    <w:p>
      <w:pPr>
        <w:pStyle w:val="Heading3"/>
      </w:pPr>
      <w:r>
        <w:t xml:space="preserve">1.5. Allocation</w:t>
      </w:r>
    </w:p>
    <w:p>
      <w:pPr>
        <w:pStyle w:val="FirstParagraph"/>
      </w:pPr>
      <w:r>
        <w:t xml:space="preserve">Emissions are allocated based on physical parameters (e.g., mass, energy consumption) for co-products and recycled content, following GHG Protocol guidance to ensure fair distribution of environmental burdens.</w:t>
      </w:r>
    </w:p>
    <w:p>
      <w:r>
        <w:pict>
          <v:rect style="width:0;height:1.5pt" o:hralign="center" o:hrstd="t" o:hr="t"/>
        </w:pict>
      </w:r>
    </w:p>
    <w:bookmarkEnd w:id="27"/>
    <w:bookmarkEnd w:id="28"/>
    <w:bookmarkStart w:id="35" w:name="Xe53ce5ff818de4e0425362e3274525332416797"/>
    <w:p>
      <w:pPr>
        <w:pStyle w:val="Heading2"/>
      </w:pPr>
      <w:r>
        <w:t xml:space="preserve">2. &amp; 3. Lifecycle Mapping (LCI Inventory Stages) and Data Collection</w:t>
      </w:r>
    </w:p>
    <w:p>
      <w:pPr>
        <w:pStyle w:val="FirstParagraph"/>
      </w:pPr>
      <w:r>
        <w:t xml:space="preserve">This section details the inventory of materials, energy, and transportation inputs across the product\'s lifecycle. Data was collected from various sources, prioritizing primary data where available, supplemented by secondary data from industry-standard databases such as Ecoinvent and DEFRA for generic processes and emission factors.</w:t>
      </w:r>
    </w:p>
    <w:bookmarkStart w:id="30" w:name="Xff31e690bfe279af69cf88b9219fe5d56042afb"/>
    <w:p>
      <w:pPr>
        <w:pStyle w:val="Heading3"/>
      </w:pPr>
      <w:r>
        <w:t xml:space="preserve">2.1. Raw Material Acquisition &amp; Pre-processing (Scope 3 - Upstream)</w:t>
      </w:r>
    </w:p>
    <w:p>
      <w:pPr>
        <w:pStyle w:val="FirstParagraph"/>
      </w:pPr>
      <w:r>
        <w:t xml:space="preserve">The Detailed Bill of Materials (BOM), referred to as</w:t>
      </w:r>
      <w:r>
        <w:t xml:space="preserve"> </w:t>
      </w:r>
      <w:r>
        <w:t xml:space="preserve">okzfvnyr</w:t>
      </w:r>
      <w:r>
        <w:t xml:space="preserve">, was used for high-accuracy material impact calculation. This BOM outlines the specific components and materials, their quantities, and associated carbon emissions. For illustrative purposes, a hypothetical breakdown is provided below, demonstrating the structure and inclusion of "Total Carbon" directly from the BOM for each item.</w:t>
      </w:r>
    </w:p>
    <w:bookmarkStart w:id="29" w:name="Xc2ba14112d92d8638d298904d037925f2c7fc32"/>
    <w:p>
      <w:pPr>
        <w:pStyle w:val="Heading4"/>
      </w:pPr>
      <w:r>
        <w:t xml:space="preserve">Detailed Bill of Materials (okzfvnyr) - Hypothetical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0.11</w:t>
            </w:r>
          </w:p>
        </w:tc>
      </w:tr>
      <w:tr>
        <w:tc>
          <w:tcPr>
            <w:gridSpan w:val="7"/>
          </w:tcPr>
          <w:p>
            <w:pPr>
              <w:pStyle w:val="Compact"/>
              <w:jc w:val="right"/>
            </w:pPr>
            <w:r>
              <w:t xml:space="preserve">Subtotal Material Carbon:</w:t>
            </w:r>
          </w:p>
        </w:tc>
        <w:tc>
          <w:tcPr/>
          <w:p>
            <w:pPr>
              <w:pStyle w:val="Compact"/>
              <w:jc w:val="left"/>
            </w:pPr>
            <w:r>
              <w:t xml:space="preserve">4.46</w:t>
            </w:r>
          </w:p>
        </w:tc>
      </w:tr>
    </w:tbl>
    <w:p>
      <w:pPr>
        <w:pStyle w:val="BodyText"/>
      </w:pPr>
      <w:r>
        <w:rPr>
          <w:iCs/>
          <w:i/>
        </w:rPr>
        <w:t xml:space="preserve">Note: The "Total Carbon" values presented in the BOM are directly used for material impact calculation, representing the emissions from raw material extraction through to the finished component, as provided in the detailed BOM (</w:t>
      </w:r>
      <w:r>
        <w:rPr>
          <w:iCs/>
          <w:i/>
        </w:rPr>
        <w:t xml:space="preserve">okzfvnyr</w:t>
      </w:r>
      <w:r>
        <w:rPr>
          <w:iCs/>
          <w:i/>
        </w:rPr>
        <w:t xml:space="preserve">).</w:t>
      </w:r>
    </w:p>
    <w:bookmarkEnd w:id="29"/>
    <w:bookmarkEnd w:id="30"/>
    <w:bookmarkStart w:id="31" w:name="manufacturing-scope-1-2"/>
    <w:p>
      <w:pPr>
        <w:pStyle w:val="Heading3"/>
      </w:pPr>
      <w:r>
        <w:t xml:space="preserve">2.2. Manufacturing (Scope 1 &amp; 2)</w:t>
      </w:r>
    </w:p>
    <w:p>
      <w:pPr>
        <w:pStyle w:val="FirstParagraph"/>
      </w:pPr>
      <w:r>
        <w:t xml:space="preserve">The production phase of</w:t>
      </w:r>
      <w:r>
        <w:t xml:space="preserve"> </w:t>
      </w:r>
      <w:r>
        <w:t xml:space="preserve">hldzzxgeiv</w:t>
      </w:r>
      <w:r>
        <w:t xml:space="preserve"> </w:t>
      </w:r>
      <w:r>
        <w:t xml:space="preserve">occurs in</w:t>
      </w:r>
      <w:r>
        <w:t xml:space="preserve"> </w:t>
      </w:r>
      <w:r>
        <w:t xml:space="preserve">China</w:t>
      </w:r>
      <w:r>
        <w:t xml:space="preserve">.</w:t>
      </w:r>
    </w:p>
    <w:p>
      <w:pPr>
        <w:numPr>
          <w:ilvl w:val="0"/>
          <w:numId w:val="1001"/>
        </w:numPr>
        <w:pStyle w:val="Compact"/>
      </w:pPr>
      <w:r>
        <w:rPr>
          <w:bCs/>
          <w:b/>
        </w:rPr>
        <w:t xml:space="preserve">Energy Intensity:</w:t>
      </w:r>
      <w:r>
        <w:t xml:space="preserve"> </w:t>
      </w:r>
      <w:r>
        <w:t xml:space="preserve">The energy intensity for manufacturing one unit of</w:t>
      </w:r>
      <w:r>
        <w:t xml:space="preserve"> </w:t>
      </w:r>
      <w:r>
        <w:t xml:space="preserve">hldzzxgeiv</w:t>
      </w:r>
      <w:r>
        <w:t xml:space="preserve"> </w:t>
      </w:r>
      <w:r>
        <w:t xml:space="preserve">is</w:t>
      </w:r>
      <w:r>
        <w:t xml:space="preserve"> </w:t>
      </w:r>
      <w:r>
        <w:t xml:space="preserve">hiyjfdkoei</w:t>
      </w:r>
      <w:r>
        <w:t xml:space="preserve"> </w:t>
      </w:r>
      <w:r>
        <w:t xml:space="preserve">(hypothetically, 12 kWh/unit).</w:t>
      </w:r>
    </w:p>
    <w:p>
      <w:pPr>
        <w:numPr>
          <w:ilvl w:val="0"/>
          <w:numId w:val="1001"/>
        </w:numPr>
        <w:pStyle w:val="Compact"/>
      </w:pPr>
      <w:r>
        <w:rPr>
          <w:bCs/>
          <w:b/>
        </w:rPr>
        <w:t xml:space="preserve">Renewable Energy Usage:</w:t>
      </w:r>
      <w:r>
        <w:t xml:space="preserve"> </w:t>
      </w:r>
      <w:r>
        <w:t xml:space="preserve">ogkqfkhmtp</w:t>
      </w:r>
      <w:r>
        <w:t xml:space="preserve"> </w:t>
      </w:r>
      <w:r>
        <w:t xml:space="preserve">utilizes</w:t>
      </w:r>
      <w:r>
        <w:t xml:space="preserve"> </w:t>
      </w:r>
      <w:r>
        <w:t xml:space="preserve">olqhghfwyl</w:t>
      </w:r>
      <w:r>
        <w:t xml:space="preserve"> </w:t>
      </w:r>
      <w:r>
        <w:t xml:space="preserve">(hypothetically, 60%) renewable energy in its production facilities. This directly impacts the grid electricity emissions.</w:t>
      </w:r>
    </w:p>
    <w:p>
      <w:pPr>
        <w:numPr>
          <w:ilvl w:val="0"/>
          <w:numId w:val="1001"/>
        </w:numPr>
        <w:pStyle w:val="Compact"/>
      </w:pPr>
      <w:r>
        <w:rPr>
          <w:bCs/>
          <w:b/>
        </w:rPr>
        <w:t xml:space="preserve">Direct Emissions (Scope 1):</w:t>
      </w:r>
      <w:r>
        <w:t xml:space="preserve"> </w:t>
      </w:r>
      <w:r>
        <w:t xml:space="preserve">For this analysis, direct emissions from company-owned or controlled sources (e.g., on-site fuel combustion) are assumed to be negligible as specific data was not provided. If applicable, these would be quantified and included.</w:t>
      </w:r>
    </w:p>
    <w:bookmarkEnd w:id="31"/>
    <w:bookmarkStart w:id="32" w:name="X981923b8cb60f0edee598a5efe02199461582eb"/>
    <w:p>
      <w:pPr>
        <w:pStyle w:val="Heading3"/>
      </w:pPr>
      <w:r>
        <w:t xml:space="preserve">2.3. Transportation (Scope 3 - Upstream &amp; Downstream)</w:t>
      </w:r>
    </w:p>
    <w:p>
      <w:pPr>
        <w:pStyle w:val="FirstParagraph"/>
      </w:pPr>
      <w:r>
        <w:t xml:space="preserve">Logistics data was incorporated into the supply chain analysis.</w:t>
      </w:r>
    </w:p>
    <w:p>
      <w:pPr>
        <w:numPr>
          <w:ilvl w:val="0"/>
          <w:numId w:val="1002"/>
        </w:numPr>
        <w:pStyle w:val="Compact"/>
      </w:pPr>
      <w:r>
        <w:rPr>
          <w:bCs/>
          <w:b/>
        </w:rPr>
        <w:t xml:space="preserve">Primary Transport Mode:</w:t>
      </w:r>
      <w:r>
        <w:t xml:space="preserve"> </w:t>
      </w:r>
      <w:r>
        <w:t xml:space="preserve">Select Mode</w:t>
      </w:r>
      <w:r>
        <w:t xml:space="preserve"> </w:t>
      </w:r>
      <w:r>
        <w:t xml:space="preserve">(hypothetically, Ocean Freight for international, Truck for regional).</w:t>
      </w:r>
    </w:p>
    <w:p>
      <w:pPr>
        <w:numPr>
          <w:ilvl w:val="0"/>
          <w:numId w:val="1002"/>
        </w:numPr>
        <w:pStyle w:val="Compact"/>
      </w:pPr>
      <w:r>
        <w:rPr>
          <w:bCs/>
          <w:b/>
        </w:rPr>
        <w:t xml:space="preserve">Transport Distance:</w:t>
      </w:r>
      <w:r>
        <w:t xml:space="preserve"> </w:t>
      </w:r>
      <w:r>
        <w:t xml:space="preserve">mirxslkfyv</w:t>
      </w:r>
      <w:r>
        <w:t xml:space="preserve"> </w:t>
      </w:r>
      <w:r>
        <w:t xml:space="preserve">(hypothetically, Ocean: 15,000 km for materials from Europe to China, Road: 500 km for distribution within China/Europe).</w:t>
      </w:r>
    </w:p>
    <w:p>
      <w:pPr>
        <w:numPr>
          <w:ilvl w:val="0"/>
          <w:numId w:val="1002"/>
        </w:numPr>
        <w:pStyle w:val="Compact"/>
      </w:pPr>
      <w:r>
        <w:rPr>
          <w:bCs/>
          <w:b/>
        </w:rPr>
        <w:t xml:space="preserve">Last-Mile Delivery Channel:</w:t>
      </w:r>
      <w:r>
        <w:t xml:space="preserve"> </w:t>
      </w:r>
      <w:r>
        <w:t xml:space="preserve">Delivery Type</w:t>
      </w:r>
      <w:r>
        <w:t xml:space="preserve"> </w:t>
      </w:r>
      <w:r>
        <w:t xml:space="preserve">(hypothetically, Small Van Delivery for final customer delivery).</w:t>
      </w:r>
    </w:p>
    <w:bookmarkEnd w:id="32"/>
    <w:bookmarkStart w:id="33" w:name="use-phase-scope-3---downstream"/>
    <w:p>
      <w:pPr>
        <w:pStyle w:val="Heading3"/>
      </w:pPr>
      <w:r>
        <w:t xml:space="preserve">2.4. Use Phase (Scope 3 - Downstream)</w:t>
      </w:r>
    </w:p>
    <w:p>
      <w:pPr>
        <w:pStyle w:val="FirstParagraph"/>
      </w:pPr>
      <w:r>
        <w:t xml:space="preserve">The use phase considers the product\'s lifespan and energy consumption by the end-user.</w:t>
      </w:r>
    </w:p>
    <w:p>
      <w:pPr>
        <w:numPr>
          <w:ilvl w:val="0"/>
          <w:numId w:val="1003"/>
        </w:numPr>
        <w:pStyle w:val="Compact"/>
      </w:pPr>
      <w:r>
        <w:rPr>
          <w:bCs/>
          <w:b/>
        </w:rPr>
        <w:t xml:space="preserve">Product Lifespan:</w:t>
      </w:r>
      <w:r>
        <w:t xml:space="preserve"> </w:t>
      </w:r>
      <w:r>
        <w:t xml:space="preserve">qkfsrwmith</w:t>
      </w:r>
      <w:r>
        <w:t xml:space="preserve"> </w:t>
      </w:r>
      <w:r>
        <w:t xml:space="preserve">(hypothetically, 3 years).</w:t>
      </w:r>
    </w:p>
    <w:p>
      <w:pPr>
        <w:numPr>
          <w:ilvl w:val="0"/>
          <w:numId w:val="1003"/>
        </w:numPr>
        <w:pStyle w:val="Compact"/>
      </w:pPr>
      <w:r>
        <w:rPr>
          <w:bCs/>
          <w:b/>
        </w:rPr>
        <w:t xml:space="preserve">Energy Consumption in Use:</w:t>
      </w:r>
      <w:r>
        <w:t xml:space="preserve"> </w:t>
      </w:r>
      <w:r>
        <w:t xml:space="preserve">wvhrvtrudo</w:t>
      </w:r>
      <w:r>
        <w:t xml:space="preserve"> </w:t>
      </w:r>
      <w:r>
        <w:t xml:space="preserve">(hypothetically, 20 kWh/year).</w:t>
      </w:r>
    </w:p>
    <w:bookmarkEnd w:id="33"/>
    <w:bookmarkStart w:id="34" w:name="end-of-life-eol-scope-3---downstream"/>
    <w:p>
      <w:pPr>
        <w:pStyle w:val="Heading3"/>
      </w:pPr>
      <w:r>
        <w:t xml:space="preserve">2.5. End-of-Life (EoL) (Scope 3 - Downstream)</w:t>
      </w:r>
    </w:p>
    <w:p>
      <w:pPr>
        <w:pStyle w:val="FirstParagraph"/>
      </w:pPr>
      <w:r>
        <w:t xml:space="preserve">EoL scenarios are incorporated to reflect circular economy impacts.</w:t>
      </w:r>
    </w:p>
    <w:p>
      <w:pPr>
        <w:numPr>
          <w:ilvl w:val="0"/>
          <w:numId w:val="1004"/>
        </w:numPr>
        <w:pStyle w:val="Compact"/>
      </w:pPr>
      <w:r>
        <w:rPr>
          <w:bCs/>
          <w:b/>
        </w:rPr>
        <w:t xml:space="preserve">Recyclability Percentage:</w:t>
      </w:r>
      <w:r>
        <w:t xml:space="preserve"> </w:t>
      </w:r>
      <w:r>
        <w:t xml:space="preserve">ilxmnguweo</w:t>
      </w:r>
      <w:r>
        <w:t xml:space="preserve"> </w:t>
      </w:r>
      <w:r>
        <w:t xml:space="preserve">(hypothetically, 75%) of the product\'s materials are recyclable.</w:t>
      </w:r>
    </w:p>
    <w:p>
      <w:pPr>
        <w:numPr>
          <w:ilvl w:val="0"/>
          <w:numId w:val="1004"/>
        </w:numPr>
        <w:pStyle w:val="Compact"/>
      </w:pPr>
      <w:r>
        <w:rPr>
          <w:bCs/>
          <w:b/>
        </w:rPr>
        <w:t xml:space="preserve">Circular/Take-back Programs:</w:t>
      </w:r>
      <w:r>
        <w:t xml:space="preserve"> </w:t>
      </w:r>
      <w:r>
        <w:t xml:space="preserve">kvofdhzkzo</w:t>
      </w:r>
      <w:r>
        <w:t xml:space="preserve"> </w:t>
      </w:r>
      <w:r>
        <w:t xml:space="preserve">(hypothetically, Company-operated take-back scheme with material recovery) is in place, reducing waste and promoting material circularity.</w:t>
      </w:r>
    </w:p>
    <w:p>
      <w:r>
        <w:pict>
          <v:rect style="width:0;height:1.5pt" o:hralign="center" o:hrstd="t" o:hr="t"/>
        </w:pict>
      </w:r>
    </w:p>
    <w:bookmarkEnd w:id="34"/>
    <w:bookmarkEnd w:id="35"/>
    <w:bookmarkStart w:id="47" w:name="X2c62247db19834934c44c209ad423fe06ba5c64"/>
    <w:p>
      <w:pPr>
        <w:pStyle w:val="Heading2"/>
      </w:pPr>
      <w:r>
        <w:t xml:space="preserve">4. Calculation of Emissions (Activity * Emission Factor = CO2e)</w:t>
      </w:r>
    </w:p>
    <w:p>
      <w:pPr>
        <w:pStyle w:val="FirstParagraph"/>
      </w:pPr>
      <w:r>
        <w:t xml:space="preserve">Emissions are calculated for each lifecycle stage, categorized according to the GHG Protocol. Industry-standard emission factors (e.g., from Ecoinvent and DEFRA databases) are used where primary data or specific BOM emission factors are not available.</w:t>
      </w:r>
    </w:p>
    <w:bookmarkStart w:id="38" w:name="scope-3-upstream-emissions"/>
    <w:p>
      <w:pPr>
        <w:pStyle w:val="Heading3"/>
      </w:pPr>
      <w:r>
        <w:t xml:space="preserve">4.1. Scope 3: Upstream Emissions</w:t>
      </w:r>
    </w:p>
    <w:bookmarkStart w:id="36" w:name="material-acquisition-pre-processing"/>
    <w:p>
      <w:pPr>
        <w:pStyle w:val="Heading4"/>
      </w:pPr>
      <w:r>
        <w:t xml:space="preserve">4.1.1. Material Acquisition &amp; Pre-processing</w:t>
      </w:r>
    </w:p>
    <w:p>
      <w:pPr>
        <w:pStyle w:val="FirstParagraph"/>
      </w:pPr>
      <w:r>
        <w:t xml:space="preserve">As detailed in the BOM (okzfvnyr), the total carbon from raw materials and component manufacturing is aggregated.</w:t>
      </w:r>
    </w:p>
    <w:p>
      <w:pPr>
        <w:numPr>
          <w:ilvl w:val="0"/>
          <w:numId w:val="1005"/>
        </w:numPr>
        <w:pStyle w:val="Compact"/>
      </w:pPr>
      <w:r>
        <w:t xml:space="preserve">Total Material Carbon (from BOM): 4.46 kg CO2e</w:t>
      </w:r>
    </w:p>
    <w:bookmarkEnd w:id="36"/>
    <w:bookmarkStart w:id="37" w:name="upstream-transportation"/>
    <w:p>
      <w:pPr>
        <w:pStyle w:val="Heading4"/>
      </w:pPr>
      <w:r>
        <w:t xml:space="preserve">4.1.2. Upstream Transportation</w:t>
      </w:r>
    </w:p>
    <w:p>
      <w:pPr>
        <w:pStyle w:val="FirstParagraph"/>
      </w:pPr>
      <w:r>
        <w:t xml:space="preserve">Assuming an average product weight of 0.8 kg per unit for transportation.</w:t>
      </w:r>
    </w:p>
    <w:p>
      <w:pPr>
        <w:numPr>
          <w:ilvl w:val="0"/>
          <w:numId w:val="1006"/>
        </w:numPr>
        <w:pStyle w:val="Compact"/>
      </w:pPr>
      <w:r>
        <w:t xml:space="preserve">Ocean Freight (e.g., Europe to China): 15,000 km * 0.8 kg * 0.01 kg CO2e/tonne-km (EF) = 0.12 kg CO2e</w:t>
      </w:r>
    </w:p>
    <w:p>
      <w:pPr>
        <w:numPr>
          <w:ilvl w:val="0"/>
          <w:numId w:val="1006"/>
        </w:numPr>
        <w:pStyle w:val="Compact"/>
      </w:pPr>
      <w:r>
        <w:t xml:space="preserve">Road Transport (e.g., port to factory): 500 km * 0.8 kg * 0.1 kg CO2e/tonne-km (EF) = 0.04 kg CO2e</w:t>
      </w:r>
    </w:p>
    <w:p>
      <w:pPr>
        <w:numPr>
          <w:ilvl w:val="0"/>
          <w:numId w:val="1006"/>
        </w:numPr>
        <w:pStyle w:val="Compact"/>
      </w:pPr>
      <w:r>
        <w:rPr>
          <w:bCs/>
          <w:b/>
        </w:rPr>
        <w:t xml:space="preserve">Total Upstream Transport Emissions:</w:t>
      </w:r>
      <w:r>
        <w:t xml:space="preserve"> </w:t>
      </w:r>
      <w:r>
        <w:t xml:space="preserve">0.12 + 0.04 = 0.16 kg CO2e</w:t>
      </w:r>
    </w:p>
    <w:bookmarkEnd w:id="37"/>
    <w:bookmarkEnd w:id="38"/>
    <w:bookmarkStart w:id="41" w:name="X8030d8f222255864dc5756b5dedfb10cc8f5297"/>
    <w:p>
      <w:pPr>
        <w:pStyle w:val="Heading3"/>
      </w:pPr>
      <w:r>
        <w:t xml:space="preserve">4.2. Scope 1 &amp; 2: Manufacturing Emissions (Factory Gate)</w:t>
      </w:r>
    </w:p>
    <w:bookmarkStart w:id="39" w:name="scope-1-emissions-direct-emissions"/>
    <w:p>
      <w:pPr>
        <w:pStyle w:val="Heading4"/>
      </w:pPr>
      <w:r>
        <w:t xml:space="preserve">4.2.1. Scope 1 Emissions (Direct Emissions)</w:t>
      </w:r>
    </w:p>
    <w:p>
      <w:pPr>
        <w:pStyle w:val="FirstParagraph"/>
      </w:pPr>
      <w:r>
        <w:t xml:space="preserve">Based on the provided parameters, direct fuel combustion on-site is assumed to be negligible for this product\'s manufacturing.</w:t>
      </w:r>
    </w:p>
    <w:p>
      <w:pPr>
        <w:numPr>
          <w:ilvl w:val="0"/>
          <w:numId w:val="1007"/>
        </w:numPr>
        <w:pStyle w:val="Compact"/>
      </w:pPr>
      <w:r>
        <w:t xml:space="preserve">Scope 1 Emissions: 0.00 kg CO2e</w:t>
      </w:r>
    </w:p>
    <w:bookmarkEnd w:id="39"/>
    <w:bookmarkStart w:id="40" w:name="scope-2-emissions-purchased-electricity"/>
    <w:p>
      <w:pPr>
        <w:pStyle w:val="Heading4"/>
      </w:pPr>
      <w:r>
        <w:t xml:space="preserve">4.2.2. Scope 2 Emissions (Purchased Electricity)</w:t>
      </w:r>
    </w:p>
    <w:p>
      <w:pPr>
        <w:pStyle w:val="FirstParagraph"/>
      </w:pPr>
      <w:r>
        <w:t xml:space="preserve">Energy Intensity:</w:t>
      </w:r>
      <w:r>
        <w:t xml:space="preserve"> </w:t>
      </w:r>
      <w:r>
        <w:t xml:space="preserve">hiyjfdkoei</w:t>
      </w:r>
      <w:r>
        <w:t xml:space="preserve"> </w:t>
      </w:r>
      <w:r>
        <w:t xml:space="preserve">(12 kWh/unit).</w:t>
      </w:r>
      <w:r>
        <w:t xml:space="preserve"> </w:t>
      </w:r>
      <w:r>
        <w:t xml:space="preserve">Renewable Energy Usage:</w:t>
      </w:r>
      <w:r>
        <w:t xml:space="preserve"> </w:t>
      </w:r>
      <w:r>
        <w:t xml:space="preserve">olqhghfwyl</w:t>
      </w:r>
      <w:r>
        <w:t xml:space="preserve"> </w:t>
      </w:r>
      <w:r>
        <w:t xml:space="preserve">(60%).</w:t>
      </w:r>
      <w:r>
        <w:t xml:space="preserve"> </w:t>
      </w:r>
      <w:r>
        <w:t xml:space="preserve">Grid Electricity Emission Factor (China, assumed average): 0.6 kg CO2e/kWh.</w:t>
      </w:r>
    </w:p>
    <w:p>
      <w:pPr>
        <w:numPr>
          <w:ilvl w:val="0"/>
          <w:numId w:val="1008"/>
        </w:numPr>
        <w:pStyle w:val="Compact"/>
      </w:pPr>
      <w:r>
        <w:t xml:space="preserve">Total Electricity Consumption: 12 kWh/unit</w:t>
      </w:r>
    </w:p>
    <w:p>
      <w:pPr>
        <w:numPr>
          <w:ilvl w:val="0"/>
          <w:numId w:val="1008"/>
        </w:numPr>
        <w:pStyle w:val="Compact"/>
      </w:pPr>
      <w:r>
        <w:t xml:space="preserve">Non-renewable Electricity: 12 kWh/unit * (1 - 0.60) = 4.8 kWh/unit</w:t>
      </w:r>
    </w:p>
    <w:p>
      <w:pPr>
        <w:numPr>
          <w:ilvl w:val="0"/>
          <w:numId w:val="1008"/>
        </w:numPr>
        <w:pStyle w:val="Compact"/>
      </w:pPr>
      <w:r>
        <w:t xml:space="preserve">Scope 2 Emissions: 4.8 kWh/unit * 0.6 kg CO2e/kWh = 2.88 kg CO2e</w:t>
      </w:r>
    </w:p>
    <w:bookmarkEnd w:id="40"/>
    <w:bookmarkEnd w:id="41"/>
    <w:bookmarkStart w:id="45" w:name="scope-3-downstream-emissions"/>
    <w:p>
      <w:pPr>
        <w:pStyle w:val="Heading3"/>
      </w:pPr>
      <w:r>
        <w:t xml:space="preserve">4.3. Scope 3: Downstream Emissions</w:t>
      </w:r>
    </w:p>
    <w:bookmarkStart w:id="42" w:name="X2577d9727e7695e187d1e0220bf6dd27e0cd7da"/>
    <w:p>
      <w:pPr>
        <w:pStyle w:val="Heading4"/>
      </w:pPr>
      <w:r>
        <w:t xml:space="preserve">4.3.1. Downstream Transportation (Last-Mile Delivery)</w:t>
      </w:r>
    </w:p>
    <w:p>
      <w:pPr>
        <w:pStyle w:val="FirstParagraph"/>
      </w:pPr>
      <w:r>
        <w:t xml:space="preserve">Last-Mile Delivery Channel:</w:t>
      </w:r>
      <w:r>
        <w:t xml:space="preserve"> </w:t>
      </w:r>
      <w:r>
        <w:t xml:space="preserve">Delivery Type</w:t>
      </w:r>
      <w:r>
        <w:t xml:space="preserve"> </w:t>
      </w:r>
      <w:r>
        <w:t xml:space="preserve">(hypothetically, Small Van Delivery).</w:t>
      </w:r>
      <w:r>
        <w:t xml:space="preserve"> </w:t>
      </w:r>
      <w:r>
        <w:t xml:space="preserve">Assumed Last-Mile Distance: 50 km per unit.</w:t>
      </w:r>
      <w:r>
        <w:t xml:space="preserve"> </w:t>
      </w:r>
      <w:r>
        <w:t xml:space="preserve">Emission Factor for Small Van: 0.2 kg CO2e/km (per delivery).</w:t>
      </w:r>
    </w:p>
    <w:p>
      <w:pPr>
        <w:numPr>
          <w:ilvl w:val="0"/>
          <w:numId w:val="1009"/>
        </w:numPr>
        <w:pStyle w:val="Compact"/>
      </w:pPr>
      <w:r>
        <w:t xml:space="preserve">Last-Mile Delivery Emissions: 50 km * 0.2 kg CO2e/km = 1.00 kg CO2e</w:t>
      </w:r>
    </w:p>
    <w:bookmarkEnd w:id="42"/>
    <w:bookmarkStart w:id="43" w:name="use-phase-emissions"/>
    <w:p>
      <w:pPr>
        <w:pStyle w:val="Heading4"/>
      </w:pPr>
      <w:r>
        <w:t xml:space="preserve">4.3.2. Use Phase Emissions</w:t>
      </w:r>
    </w:p>
    <w:p>
      <w:pPr>
        <w:pStyle w:val="FirstParagraph"/>
      </w:pPr>
      <w:r>
        <w:t xml:space="preserve">Product Lifespan:</w:t>
      </w:r>
      <w:r>
        <w:t xml:space="preserve"> </w:t>
      </w:r>
      <w:r>
        <w:t xml:space="preserve">qkfsrwmith</w:t>
      </w:r>
      <w:r>
        <w:t xml:space="preserve"> </w:t>
      </w:r>
      <w:r>
        <w:t xml:space="preserve">(3 years).</w:t>
      </w:r>
      <w:r>
        <w:t xml:space="preserve"> </w:t>
      </w:r>
      <w:r>
        <w:t xml:space="preserve">Energy Consumption in Use:</w:t>
      </w:r>
      <w:r>
        <w:t xml:space="preserve"> </w:t>
      </w:r>
      <w:r>
        <w:t xml:space="preserve">wvhrvtrudo</w:t>
      </w:r>
      <w:r>
        <w:t xml:space="preserve"> </w:t>
      </w:r>
      <w:r>
        <w:t xml:space="preserve">(20 kWh/year).</w:t>
      </w:r>
      <w:r>
        <w:t xml:space="preserve"> </w:t>
      </w:r>
      <w:r>
        <w:t xml:space="preserve">Average Electricity Emission Factor (Europe, assumed average for use region): 0.3 kg CO2e/kWh.</w:t>
      </w:r>
    </w:p>
    <w:p>
      <w:pPr>
        <w:numPr>
          <w:ilvl w:val="0"/>
          <w:numId w:val="1010"/>
        </w:numPr>
        <w:pStyle w:val="Compact"/>
      </w:pPr>
      <w:r>
        <w:t xml:space="preserve">Total Use Phase Energy Consumption: 20 kWh/year * 3 years = 60 kWh</w:t>
      </w:r>
    </w:p>
    <w:p>
      <w:pPr>
        <w:numPr>
          <w:ilvl w:val="0"/>
          <w:numId w:val="1010"/>
        </w:numPr>
        <w:pStyle w:val="Compact"/>
      </w:pPr>
      <w:r>
        <w:t xml:space="preserve">Use Phase Emissions: 60 kWh * 0.3 kg CO2e/kWh = 18.00 kg CO2e</w:t>
      </w:r>
    </w:p>
    <w:bookmarkEnd w:id="43"/>
    <w:bookmarkStart w:id="44" w:name="end-of-life-eol-emissions-credits"/>
    <w:p>
      <w:pPr>
        <w:pStyle w:val="Heading4"/>
      </w:pPr>
      <w:r>
        <w:t xml:space="preserve">4.3.3. End-of-Life (EoL) Emissions / Credits</w:t>
      </w:r>
    </w:p>
    <w:p>
      <w:pPr>
        <w:pStyle w:val="FirstParagraph"/>
      </w:pPr>
      <w:r>
        <w:t xml:space="preserve">Recyclability Percentage:</w:t>
      </w:r>
      <w:r>
        <w:t xml:space="preserve"> </w:t>
      </w:r>
      <w:r>
        <w:t xml:space="preserve">ilxmnguweo</w:t>
      </w:r>
      <w:r>
        <w:t xml:space="preserve"> </w:t>
      </w:r>
      <w:r>
        <w:t xml:space="preserve">(75%).</w:t>
      </w:r>
      <w:r>
        <w:t xml:space="preserve"> </w:t>
      </w:r>
      <w:r>
        <w:t xml:space="preserve">Circular/Take-back Programs:</w:t>
      </w:r>
      <w:r>
        <w:t xml:space="preserve"> </w:t>
      </w:r>
      <w:r>
        <w:t xml:space="preserve">kvofdhzkzo</w:t>
      </w:r>
      <w:r>
        <w:t xml:space="preserve"> </w:t>
      </w:r>
      <w:r>
        <w:t xml:space="preserve">(Company-operated take-back scheme with material recovery).</w:t>
      </w:r>
      <w:r>
        <w:t xml:space="preserve"> </w:t>
      </w:r>
      <w:r>
        <w:t xml:space="preserve">Assume default landfilling EF for remaining waste: 1.0 kg CO2e/kg for non-recyclable content.</w:t>
      </w:r>
      <w:r>
        <w:t xml:space="preserve"> </w:t>
      </w:r>
      <w:r>
        <w:t xml:space="preserve">Assume recycling credits for recovered materials: -1.5 kg CO2e per kg of recycled material (hypothetical).</w:t>
      </w:r>
      <w:r>
        <w:t xml:space="preserve"> </w:t>
      </w:r>
      <w:r>
        <w:t xml:space="preserve">Assume additional credit for circular programs: -0.5 kg CO2e/unit (hypothetical).</w:t>
      </w:r>
    </w:p>
    <w:p>
      <w:pPr>
        <w:numPr>
          <w:ilvl w:val="0"/>
          <w:numId w:val="1011"/>
        </w:numPr>
        <w:pStyle w:val="Compact"/>
      </w:pPr>
      <w:r>
        <w:t xml:space="preserve">Product Mass for EoL: 0.8 kg</w:t>
      </w:r>
    </w:p>
    <w:p>
      <w:pPr>
        <w:numPr>
          <w:ilvl w:val="0"/>
          <w:numId w:val="1011"/>
        </w:numPr>
        <w:pStyle w:val="Compact"/>
      </w:pPr>
      <w:r>
        <w:t xml:space="preserve">Mass to Landfill (25%): 0.8 kg * 0.25 = 0.2 kg</w:t>
      </w:r>
    </w:p>
    <w:p>
      <w:pPr>
        <w:numPr>
          <w:ilvl w:val="0"/>
          <w:numId w:val="1011"/>
        </w:numPr>
        <w:pStyle w:val="Compact"/>
      </w:pPr>
      <w:r>
        <w:t xml:space="preserve">Landfill Emissions: 0.2 kg * 1.0 kg CO2e/kg = 0.20 kg CO2e</w:t>
      </w:r>
    </w:p>
    <w:p>
      <w:pPr>
        <w:numPr>
          <w:ilvl w:val="0"/>
          <w:numId w:val="1011"/>
        </w:numPr>
        <w:pStyle w:val="Compact"/>
      </w:pPr>
      <w:r>
        <w:t xml:space="preserve">Recycling Credit (75%): 0.8 kg * 0.75 * -1.5 kg CO2e/kg = -0.90 kg CO2e</w:t>
      </w:r>
    </w:p>
    <w:p>
      <w:pPr>
        <w:numPr>
          <w:ilvl w:val="0"/>
          <w:numId w:val="1011"/>
        </w:numPr>
        <w:pStyle w:val="Compact"/>
      </w:pPr>
      <w:r>
        <w:t xml:space="preserve">Circular Program Credit: -0.50 kg CO2e</w:t>
      </w:r>
    </w:p>
    <w:p>
      <w:pPr>
        <w:numPr>
          <w:ilvl w:val="0"/>
          <w:numId w:val="1011"/>
        </w:numPr>
        <w:pStyle w:val="Compact"/>
      </w:pPr>
      <w:r>
        <w:rPr>
          <w:bCs/>
          <w:b/>
        </w:rPr>
        <w:t xml:space="preserve">Total EoL Emissions / Credits:</w:t>
      </w:r>
      <w:r>
        <w:t xml:space="preserve"> </w:t>
      </w:r>
      <w:r>
        <w:t xml:space="preserve">0.20 - 0.90 - 0.50 = -1.20 kg CO2e</w:t>
      </w:r>
    </w:p>
    <w:bookmarkEnd w:id="44"/>
    <w:bookmarkEnd w:id="45"/>
    <w:bookmarkStart w:id="46"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4.46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2.88</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-1.20</w:t>
            </w:r>
          </w:p>
        </w:tc>
      </w:tr>
      <w:tr>
        <w:tc>
          <w:tcPr>
            <w:gridSpan w:val="2"/>
          </w:tcPr>
          <w:p>
            <w:pPr>
              <w:pStyle w:val="Compact"/>
              <w:jc w:val="right"/>
            </w:pPr>
            <w:r>
              <w:t xml:space="preserve">TOTAL PRODUCT CARBON FOOTPRINT:</w:t>
            </w:r>
          </w:p>
        </w:tc>
        <w:tc>
          <w:tcPr/>
          <w:p>
            <w:pPr>
              <w:pStyle w:val="Compact"/>
              <w:jc w:val="left"/>
            </w:pPr>
            <w:r>
              <w:t xml:space="preserve">25.30</w:t>
            </w:r>
          </w:p>
        </w:tc>
      </w:tr>
    </w:tbl>
    <w:p>
      <w:pPr>
        <w:pStyle w:val="BodyText"/>
      </w:pPr>
      <w:r>
        <w:t xml:space="preserve">The total Product Carbon Footprint for one unit of</w:t>
      </w:r>
      <w:r>
        <w:t xml:space="preserve"> </w:t>
      </w:r>
      <w:r>
        <w:t xml:space="preserve">hldzzxgeiv</w:t>
      </w:r>
      <w:r>
        <w:t xml:space="preserve"> </w:t>
      </w:r>
      <w:r>
        <w:t xml:space="preserve">is</w:t>
      </w:r>
      <w:r>
        <w:t xml:space="preserve"> </w:t>
      </w:r>
      <w:r>
        <w:t xml:space="preserve">25.30 kg CO2e</w:t>
      </w:r>
      <w:r>
        <w:t xml:space="preserve">.</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analysis"/>
    <w:p>
      <w:pPr>
        <w:pStyle w:val="Heading3"/>
      </w:pPr>
      <w:r>
        <w:t xml:space="preserve">5.1. Hotspot Analysis</w:t>
      </w:r>
    </w:p>
    <w:p>
      <w:pPr>
        <w:pStyle w:val="FirstParagraph"/>
      </w:pPr>
      <w:r>
        <w:t xml:space="preserve">The analysis identifies the following key emission hotspots for</w:t>
      </w:r>
      <w:r>
        <w:t xml:space="preserve"> </w:t>
      </w:r>
      <w:r>
        <w:t xml:space="preserve">hldzzxgeiv</w:t>
      </w:r>
      <w:r>
        <w:t xml:space="preserve">:</w:t>
      </w:r>
    </w:p>
    <w:p>
      <w:pPr>
        <w:numPr>
          <w:ilvl w:val="0"/>
          <w:numId w:val="1012"/>
        </w:numPr>
        <w:pStyle w:val="Compact"/>
      </w:pPr>
      <w:r>
        <w:rPr>
          <w:bCs/>
          <w:b/>
        </w:rPr>
        <w:t xml:space="preserve">Use Phase (18.00 kg CO2e):</w:t>
      </w:r>
      <w:r>
        <w:t xml:space="preserve"> </w:t>
      </w:r>
      <w:r>
        <w:t xml:space="preserve">This is the most significant contributor to the PCF, primarily due to the product\'s energy consumption over its</w:t>
      </w:r>
      <w:r>
        <w:t xml:space="preserve"> </w:t>
      </w:r>
      <w:r>
        <w:t xml:space="preserve">qkfsrwmith</w:t>
      </w:r>
      <w:r>
        <w:t xml:space="preserve"> </w:t>
      </w:r>
      <w:r>
        <w:t xml:space="preserve">(3-year) lifespan. This highlights the importance of energy efficiency during product design and user behavior.</w:t>
      </w:r>
    </w:p>
    <w:p>
      <w:pPr>
        <w:numPr>
          <w:ilvl w:val="0"/>
          <w:numId w:val="1012"/>
        </w:numPr>
        <w:pStyle w:val="Compact"/>
      </w:pPr>
      <w:r>
        <w:rPr>
          <w:bCs/>
          <w:b/>
        </w:rPr>
        <w:t xml:space="preserve">Material Acquisition &amp; Pre-processing (4.46 kg CO2e):</w:t>
      </w:r>
      <w:r>
        <w:t xml:space="preserve"> </w:t>
      </w:r>
      <w:r>
        <w:t xml:space="preserve">The impact of raw materials, particularly those with high embodied carbon (e.g., aluminum, complex electronics), is substantial. Optimizing material selection and sourcing from lower-carbon suppliers are critical.</w:t>
      </w:r>
    </w:p>
    <w:p>
      <w:pPr>
        <w:numPr>
          <w:ilvl w:val="0"/>
          <w:numId w:val="1012"/>
        </w:numPr>
        <w:pStyle w:val="Compact"/>
      </w:pPr>
      <w:r>
        <w:rPr>
          <w:bCs/>
          <w:b/>
        </w:rPr>
        <w:t xml:space="preserve">Manufacturing (Scope 2 - 2.88 kg CO2e):</w:t>
      </w:r>
      <w:r>
        <w:t xml:space="preserve"> </w:t>
      </w:r>
      <w:r>
        <w:t xml:space="preserve">While mitigated by</w:t>
      </w:r>
      <w:r>
        <w:t xml:space="preserve"> </w:t>
      </w:r>
      <w:r>
        <w:t xml:space="preserve">olqhghfwyl</w:t>
      </w:r>
      <w:r>
        <w:t xml:space="preserve"> </w:t>
      </w:r>
      <w:r>
        <w:t xml:space="preserve">(60%) renewable energy usage, the remaining grid electricity consumption in China contributes significantly. Further increasing renewable energy adoption or improving energy efficiency in production facilities would reduce this impact.</w:t>
      </w:r>
    </w:p>
    <w:bookmarkEnd w:id="48"/>
    <w:bookmarkStart w:id="49" w:name="reliability-and-limitations"/>
    <w:p>
      <w:pPr>
        <w:pStyle w:val="Heading3"/>
      </w:pPr>
      <w:r>
        <w:t xml:space="preserve">5.2. Reliability and Limitations</w:t>
      </w:r>
    </w:p>
    <w:p>
      <w:pPr>
        <w:pStyle w:val="FirstParagraph"/>
      </w:pPr>
      <w:r>
        <w:t xml:space="preserve">The reliability of this PCF is considered high, especially for the material impacts where specific BOM data (okzfvnyr) was utilized. However, certain limitations exist:</w:t>
      </w:r>
    </w:p>
    <w:p>
      <w:pPr>
        <w:numPr>
          <w:ilvl w:val="0"/>
          <w:numId w:val="1013"/>
        </w:numPr>
        <w:pStyle w:val="Compact"/>
      </w:pPr>
      <w:r>
        <w:rPr>
          <w:bCs/>
          <w:b/>
        </w:rPr>
        <w:t xml:space="preserve">Placeholder Data:</w:t>
      </w:r>
      <w:r>
        <w:t xml:space="preserve"> </w:t>
      </w:r>
      <w:r>
        <w:t xml:space="preserve">Several parameters (e.g., Transport Mode, Distance, Energy Intensity, Lifespan, Consumption, Recyclability, Circular Programs) were provided as descriptive strings. For calculation purposes, hypothetical numerical values were assumed. Replacing these with precise primary data would further enhance accuracy.</w:t>
      </w:r>
    </w:p>
    <w:p>
      <w:pPr>
        <w:numPr>
          <w:ilvl w:val="0"/>
          <w:numId w:val="1013"/>
        </w:numPr>
        <w:pStyle w:val="Compact"/>
      </w:pPr>
      <w:r>
        <w:rPr>
          <w:bCs/>
          <w:b/>
        </w:rPr>
        <w:t xml:space="preserve">Generic Emission Factors:</w:t>
      </w:r>
      <w:r>
        <w:t xml:space="preserve"> </w:t>
      </w:r>
      <w:r>
        <w:t xml:space="preserve">While industry-standard databases (Ecoinvent, DEFRA) are robust, site-specific or supplier-specific emission factors for certain processes could refine the calculations.</w:t>
      </w:r>
    </w:p>
    <w:p>
      <w:pPr>
        <w:numPr>
          <w:ilvl w:val="0"/>
          <w:numId w:val="1013"/>
        </w:numPr>
        <w:pStyle w:val="Compact"/>
      </w:pPr>
      <w:r>
        <w:rPr>
          <w:bCs/>
          <w:b/>
        </w:rPr>
        <w:t xml:space="preserve">Land Sector and Removals (LSR) Standard:</w:t>
      </w:r>
      <w:r>
        <w:t xml:space="preserve"> </w:t>
      </w:r>
      <w:r>
        <w:t xml:space="preserve">While adherence to the 2026 LSR Standard is stated, the specific data for land use change or carbon removals directly attributable to the product\'s lifecycle were not available for detailed quantification in this report, and are conceptually acknowledged.</w:t>
      </w:r>
    </w:p>
    <w:bookmarkEnd w:id="49"/>
    <w:bookmarkStart w:id="50" w:name="recommendations-for-emission-reduction"/>
    <w:p>
      <w:pPr>
        <w:pStyle w:val="Heading3"/>
      </w:pPr>
      <w:r>
        <w:t xml:space="preserve">5.3. Recommendations for Emission Reduction</w:t>
      </w:r>
    </w:p>
    <w:p>
      <w:pPr>
        <w:pStyle w:val="FirstParagraph"/>
      </w:pPr>
      <w:r>
        <w:t xml:space="preserve">Based on this analysis,</w:t>
      </w:r>
      <w:r>
        <w:t xml:space="preserve"> </w:t>
      </w:r>
      <w:r>
        <w:t xml:space="preserve">ogkqfkhmtp</w:t>
      </w:r>
      <w:r>
        <w:t xml:space="preserve"> </w:t>
      </w:r>
      <w:r>
        <w:t xml:space="preserve">should focus on the following areas to reduce the carbon footprint of</w:t>
      </w:r>
      <w:r>
        <w:t xml:space="preserve"> </w:t>
      </w:r>
      <w:r>
        <w:t xml:space="preserve">hldzzxgeiv</w:t>
      </w:r>
      <w:r>
        <w:t xml:space="preserve">:</w:t>
      </w:r>
    </w:p>
    <w:p>
      <w:pPr>
        <w:numPr>
          <w:ilvl w:val="0"/>
          <w:numId w:val="1014"/>
        </w:numPr>
        <w:pStyle w:val="Compact"/>
      </w:pPr>
      <w:r>
        <w:rPr>
          <w:bCs/>
          <w:b/>
        </w:rPr>
        <w:t xml:space="preserve">Use Phase Optimization:</w:t>
      </w:r>
      <w:r>
        <w:t xml:space="preserve"> </w:t>
      </w:r>
      <w:r>
        <w:t xml:space="preserve">Prioritize designs for extreme energy efficiency during product operation. Explore low-power modes, smart energy management features, and educate users on responsible energy consumption.</w:t>
      </w:r>
    </w:p>
    <w:p>
      <w:pPr>
        <w:numPr>
          <w:ilvl w:val="0"/>
          <w:numId w:val="1014"/>
        </w:numPr>
        <w:pStyle w:val="Compact"/>
      </w:pPr>
      <w:r>
        <w:rPr>
          <w:bCs/>
          <w:b/>
        </w:rPr>
        <w:t xml:space="preserve">Sustainable Material Sourcing:</w:t>
      </w:r>
      <w:r>
        <w:t xml:space="preserve"> </w:t>
      </w:r>
      <w:r>
        <w:t xml:space="preserve">Investigate alternative materials with lower embodied carbon, increase the use of recycled content, and engage with suppliers to improve transparency and reduce the footprint of sourced components.</w:t>
      </w:r>
    </w:p>
    <w:p>
      <w:pPr>
        <w:numPr>
          <w:ilvl w:val="0"/>
          <w:numId w:val="1014"/>
        </w:numPr>
        <w:pStyle w:val="Compact"/>
      </w:pPr>
      <w:r>
        <w:rPr>
          <w:bCs/>
          <w:b/>
        </w:rPr>
        <w:t xml:space="preserve">Renewable Energy Expansion:</w:t>
      </w:r>
      <w:r>
        <w:t xml:space="preserve"> </w:t>
      </w:r>
      <w:r>
        <w:t xml:space="preserve">Continuously increase the share of renewable energy used in manufacturing facilities beyond</w:t>
      </w:r>
      <w:r>
        <w:t xml:space="preserve"> </w:t>
      </w:r>
      <w:r>
        <w:t xml:space="preserve">olqhghfwyl</w:t>
      </w:r>
      <w:r>
        <w:t xml:space="preserve"> </w:t>
      </w:r>
      <w:r>
        <w:t xml:space="preserve">(60%), and explore renewable energy options for key suppliers.</w:t>
      </w:r>
    </w:p>
    <w:p>
      <w:pPr>
        <w:numPr>
          <w:ilvl w:val="0"/>
          <w:numId w:val="1014"/>
        </w:numPr>
        <w:pStyle w:val="Compact"/>
      </w:pPr>
      <w:r>
        <w:rPr>
          <w:bCs/>
          <w:b/>
        </w:rPr>
        <w:t xml:space="preserve">Logistics Optimization:</w:t>
      </w:r>
      <w:r>
        <w:t xml:space="preserve"> </w:t>
      </w:r>
      <w:r>
        <w:t xml:space="preserve">Optimize transport routes, modes, and load factors to reduce emissions from both upstream and downstream logistics, especially focusing on efficient last-mile delivery.</w:t>
      </w:r>
    </w:p>
    <w:p>
      <w:pPr>
        <w:numPr>
          <w:ilvl w:val="0"/>
          <w:numId w:val="1014"/>
        </w:numPr>
        <w:pStyle w:val="Compact"/>
      </w:pPr>
      <w:r>
        <w:rPr>
          <w:bCs/>
          <w:b/>
        </w:rPr>
        <w:t xml:space="preserve">Enhanced Circularity:</w:t>
      </w:r>
      <w:r>
        <w:t xml:space="preserve"> </w:t>
      </w:r>
      <w:r>
        <w:t xml:space="preserve">Further develop and promote</w:t>
      </w:r>
      <w:r>
        <w:t xml:space="preserve"> </w:t>
      </w:r>
      <w:r>
        <w:t xml:space="preserve">kvofdhzkzo</w:t>
      </w:r>
      <w:r>
        <w:t xml:space="preserve"> </w:t>
      </w:r>
      <w:r>
        <w:t xml:space="preserve">(company-operated take-back schemes) and explore innovative business models that prolong product life and maximize material recovery beyond the current</w:t>
      </w:r>
      <w:r>
        <w:t xml:space="preserve"> </w:t>
      </w:r>
      <w:r>
        <w:t xml:space="preserve">ilxmnguweo</w:t>
      </w:r>
      <w:r>
        <w:t xml:space="preserve"> </w:t>
      </w:r>
      <w:r>
        <w:t xml:space="preserve">(75%) recyclability.</w:t>
      </w:r>
    </w:p>
    <w:p>
      <w:pPr>
        <w:pStyle w:val="FirstParagraph"/>
      </w:pPr>
      <w:r>
        <w:t xml:space="preserve">Confidential - Internal Use Only | Page</w:t>
      </w:r>
      <w:r>
        <w:t xml:space="preserve"> </w:t>
      </w:r>
      <w:r>
        <w:t xml:space="preserve"> </w:t>
      </w:r>
      <w:r>
        <w:t xml:space="preserve">of</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hldzzxgeiv</dc:title>
  <dc:creator/>
  <dc:description>Comprehensive Product Carbon Footprint (PCF) analysis report for hldzzxgeiv, following GHG Protocol standards and 2026 updates, prepared by Senior Sustainability Consultant otyirmgpwy for ogkqfkhmtp.</dc:description>
  <dc:language>en</dc:language>
  <cp:keywords/>
  <dcterms:created xsi:type="dcterms:W3CDTF">2026-07-15T13:36:21Z</dcterms:created>
  <dcterms:modified xsi:type="dcterms:W3CDTF">2026-07-15T13:36:21Z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