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hkvgutqgkq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vqsdgfuggk</w:t>
      </w:r>
    </w:p>
    <w:p>
      <w:pPr>
        <w:pStyle w:val="BodyText"/>
      </w:pPr>
      <w:r>
        <w:t xml:space="preserve">Prepared by: xiqpitjvpv, Senior Sustainability Consultant</w:t>
      </w:r>
    </w:p>
    <w:p>
      <w:pPr>
        <w:pStyle w:val="BodyText"/>
      </w:pPr>
      <w:r>
        <w:t xml:space="preserve">Protocol Data (Accounting Standard): GHG Protocol</w:t>
      </w:r>
    </w:p>
    <w:p>
      <w:pPr>
        <w:pStyle w:val="BodyText"/>
      </w:pPr>
      <w:r>
        <w:t xml:space="preserve">Disclaimer: This report is generated based on available data and industry standards. While efforts have been made to ensure accuracy, the actual environmental impact may vary based on real-world conditions and data availability.</w:t>
      </w:r>
    </w:p>
    <w:bookmarkEnd w:id="20"/>
    <w:bookmarkStart w:id="46" w:name="Xb328a0996c85ba12dd5e9f41ba9992529c231bd"/>
    <w:p>
      <w:pPr>
        <w:pStyle w:val="Heading1"/>
      </w:pPr>
      <w:r>
        <w:t xml:space="preserve">Product Carbon Footprint Analysis for hkvgutqgkq</w:t>
      </w:r>
    </w:p>
    <w:p>
      <w:pPr>
        <w:pStyle w:val="FirstParagraph"/>
      </w:pPr>
      <w:r>
        <w:rPr>
          <w:bCs/>
          <w:b/>
        </w:rPr>
        <w:t xml:space="preserve">Generated Date:</w:t>
      </w:r>
      <w:r>
        <w:t xml:space="preserve"> </w:t>
      </w:r>
      <w:r>
        <w:t xml:space="preserve">May 19,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hkvgutqgkq</w:t>
      </w:r>
      <w:r>
        <w:t xml:space="preserve">, manufactured by</w:t>
      </w:r>
      <w:r>
        <w:t xml:space="preserve"> </w:t>
      </w:r>
      <w:r>
        <w:rPr>
          <w:bCs/>
          <w:b/>
        </w:rPr>
        <w:t xml:space="preserve">vqsdgfuggk</w:t>
      </w:r>
      <w:r>
        <w:t xml:space="preserve">. The analysis, performed by</w:t>
      </w:r>
      <w:r>
        <w:t xml:space="preserve"> </w:t>
      </w:r>
      <w:r>
        <w:rPr>
          <w:bCs/>
          <w:b/>
        </w:rPr>
        <w:t xml:space="preserve">xiqpitjvpv</w:t>
      </w:r>
      <w:r>
        <w:t xml:space="preserve">, Senior Sustainability Consultant, adheres to the Greenhouse Gas (GHG) Protocol, including the recent 2026 updates for the Land Sector and Removals (LSR) Standard and enhanced Scope 3 compliance requirements. The primary objective is to quantify the greenhouse gas emissions associated with the product\'s entire lifecycle, from raw material extraction to end-of-life, providing insights into emission hotspots and opportunities for reduction.</w:t>
      </w:r>
    </w:p>
    <w:p>
      <w:r>
        <w:pict>
          <v:rect style="width:0;height:1.5pt" o:hralign="center" o:hrstd="t" o:hr="t"/>
        </w:pict>
      </w:r>
    </w:p>
    <w:bookmarkEnd w:id="21"/>
    <w:bookmarkStart w:id="27" w:name="methodology-and-scope-definition"/>
    <w:p>
      <w:pPr>
        <w:pStyle w:val="Heading2"/>
      </w:pPr>
      <w:r>
        <w:t xml:space="preserve">1. Methodology and Scope Definition</w:t>
      </w:r>
    </w:p>
    <w:bookmarkStart w:id="22" w:name="accounting-standard"/>
    <w:p>
      <w:pPr>
        <w:pStyle w:val="Heading3"/>
      </w:pPr>
      <w:r>
        <w:t xml:space="preserve">1.1. Accounting Standard</w:t>
      </w:r>
    </w:p>
    <w:p>
      <w:pPr>
        <w:pStyle w:val="FirstParagraph"/>
      </w:pPr>
      <w:r>
        <w:t xml:space="preserve">This analysis strictly follows the requirements and guidance of the</w:t>
      </w:r>
      <w:r>
        <w:t xml:space="preserve"> </w:t>
      </w:r>
      <w:r>
        <w:rPr>
          <w:bCs/>
          <w:b/>
        </w:rPr>
        <w:t xml:space="preserve">GHG Protocol</w:t>
      </w:r>
      <w:r>
        <w:t xml:space="preserve">, specifically the Product Standard. All emissions are categorized into Scope 1 (direct emissions from owned or controlled sources), Scope 2 (indirect emissions from purchased electricity, heat, or steam), and Scope 3 (all other indirect emissions across the value chain).</w:t>
      </w:r>
    </w:p>
    <w:p>
      <w:pPr>
        <w:pStyle w:val="BodyText"/>
      </w:pPr>
      <w:r>
        <w:t xml:space="preserve">**2026 LSR Update:** The analysis incorporates the principles of the GHG Protocol\'s Land Sector and Removals (LSR) Standard, which provides requirements for accounting for land emissions, CO₂ removals, and other key metrics, effective January 1, 2027. This includes emissions from land management, land use change, and CO₂ removals with storage in land and geologic carbon pools.</w:t>
      </w:r>
    </w:p>
    <w:p>
      <w:pPr>
        <w:pStyle w:val="BodyText"/>
      </w:pPr>
      <w:r>
        <w:t xml:space="preserve">**Scope 3 Compliance:** In line with the 2026 requirements, this report aims for at least 95% coverage for Scope 3 reporting. Exclusions, if any, are quantified, disclosed, and justified, ensuring the completeness and transparency of the inventory.</w:t>
      </w:r>
    </w:p>
    <w:bookmarkEnd w:id="22"/>
    <w:bookmarkStart w:id="23" w:name="functional-unit"/>
    <w:p>
      <w:pPr>
        <w:pStyle w:val="Heading3"/>
      </w:pPr>
      <w:r>
        <w:t xml:space="preserve">1.2. Functional Unit</w:t>
      </w:r>
    </w:p>
    <w:p>
      <w:pPr>
        <w:pStyle w:val="FirstParagraph"/>
      </w:pPr>
      <w:r>
        <w:t xml:space="preserve">The functional unit for this PCF analysis is defined as:</w:t>
      </w:r>
      <w:r>
        <w:t xml:space="preserve"> </w:t>
      </w:r>
      <w:r>
        <w:rPr>
          <w:bCs/>
          <w:b/>
        </w:rPr>
        <w:t xml:space="preserve">1.0 unit of hkvgutqgkq</w:t>
      </w:r>
      <w:r>
        <w:t xml:space="preserve">.</w:t>
      </w:r>
    </w:p>
    <w:bookmarkEnd w:id="23"/>
    <w:bookmarkStart w:id="24" w:name="system-boundary"/>
    <w:p>
      <w:pPr>
        <w:pStyle w:val="Heading3"/>
      </w:pPr>
      <w:r>
        <w:t xml:space="preserve">1.3. System Boundary</w:t>
      </w:r>
    </w:p>
    <w:p>
      <w:pPr>
        <w:pStyle w:val="FirstParagraph"/>
      </w:pPr>
      <w:r>
        <w:t xml:space="preserve">The system boundary for this assessment is</w:t>
      </w:r>
      <w:r>
        <w:t xml:space="preserve"> </w:t>
      </w:r>
      <w:r>
        <w:rPr>
          <w:bCs/>
          <w:b/>
        </w:rPr>
        <w:t xml:space="preserve">"factory_gate"</w:t>
      </w:r>
      <w:r>
        <w:t xml:space="preserve">, which typically includes emissions from raw material acquisition, manufacturing, and transport to the factory gate. However, for a comprehensive PCF, and as per the detailed requirements, this report extends beyond the factory gate to include the use phase and end-of-life scenarios.</w:t>
      </w:r>
    </w:p>
    <w:p>
      <w:pPr>
        <w:numPr>
          <w:ilvl w:val="0"/>
          <w:numId w:val="1001"/>
        </w:numPr>
        <w:pStyle w:val="Compact"/>
      </w:pPr>
      <w:r>
        <w:rPr>
          <w:bCs/>
          <w:b/>
        </w:rPr>
        <w:t xml:space="preserve">Cradle-to-Gate + Use Phase + End-of-Life:</w:t>
      </w:r>
      <w:r>
        <w:t xml:space="preserve"> </w:t>
      </w:r>
      <w:r>
        <w:t xml:space="preserve">This comprehensive boundary captures emissions from:</w:t>
      </w:r>
    </w:p>
    <w:p>
      <w:pPr>
        <w:numPr>
          <w:ilvl w:val="1"/>
          <w:numId w:val="1002"/>
        </w:numPr>
        <w:pStyle w:val="Compact"/>
      </w:pPr>
      <w:r>
        <w:t xml:space="preserve">Raw Material Acquisition &amp; Pre-processing (Upstream Scope 3)</w:t>
      </w:r>
    </w:p>
    <w:p>
      <w:pPr>
        <w:numPr>
          <w:ilvl w:val="1"/>
          <w:numId w:val="1002"/>
        </w:numPr>
        <w:pStyle w:val="Compact"/>
      </w:pPr>
      <w:r>
        <w:t xml:space="preserve">Manufacturing (Scope 1, Scope 2, Upstream Scope 3 for facility-related emissions)</w:t>
      </w:r>
    </w:p>
    <w:p>
      <w:pPr>
        <w:numPr>
          <w:ilvl w:val="1"/>
          <w:numId w:val="1002"/>
        </w:numPr>
        <w:pStyle w:val="Compact"/>
      </w:pPr>
      <w:r>
        <w:t xml:space="preserve">Transportation (Upstream Scope 3 for inbound, Downstream Scope 3 for outbound/delivery)</w:t>
      </w:r>
    </w:p>
    <w:p>
      <w:pPr>
        <w:numPr>
          <w:ilvl w:val="1"/>
          <w:numId w:val="1002"/>
        </w:numPr>
        <w:pStyle w:val="Compact"/>
      </w:pPr>
      <w:r>
        <w:t xml:space="preserve">Product Use Phase (Downstream Scope 3)</w:t>
      </w:r>
    </w:p>
    <w:p>
      <w:pPr>
        <w:numPr>
          <w:ilvl w:val="1"/>
          <w:numId w:val="1002"/>
        </w:numPr>
        <w:pStyle w:val="Compact"/>
      </w:pPr>
      <w:r>
        <w:t xml:space="preserve">End-of-Life Treatment (Downstream Scope 3)</w:t>
      </w:r>
    </w:p>
    <w:bookmarkEnd w:id="24"/>
    <w:bookmarkStart w:id="25" w:name="geographic-scope"/>
    <w:p>
      <w:pPr>
        <w:pStyle w:val="Heading3"/>
      </w:pPr>
      <w:r>
        <w:t xml:space="preserve">1.4.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bookmarkEnd w:id="25"/>
    <w:bookmarkStart w:id="26" w:name="allocation"/>
    <w:p>
      <w:pPr>
        <w:pStyle w:val="Heading3"/>
      </w:pPr>
      <w:r>
        <w:t xml:space="preserve">1.5. Allocation</w:t>
      </w:r>
    </w:p>
    <w:p>
      <w:pPr>
        <w:pStyle w:val="FirstParagraph"/>
      </w:pPr>
      <w:r>
        <w:t xml:space="preserve">Emissions are allocated directly to the functional unit (1.0 unit of hkvgutqgkq). For multi-product systems or shared processes, allocation methods would typically be based on physical (e.g., mass) or economic relationships, though for this product-specific analysis, direct attribution is prioritized where possible.</w:t>
      </w:r>
    </w:p>
    <w:p>
      <w:r>
        <w:pict>
          <v:rect style="width:0;height:1.5pt" o:hralign="center" o:hrstd="t" o:hr="t"/>
        </w:pict>
      </w:r>
    </w:p>
    <w:bookmarkEnd w:id="26"/>
    <w:bookmarkEnd w:id="27"/>
    <w:bookmarkStart w:id="33" w:name="X07cf0ea829f60a4f8fa47c00f72a11793fbe483"/>
    <w:p>
      <w:pPr>
        <w:pStyle w:val="Heading2"/>
      </w:pPr>
      <w:r>
        <w:t xml:space="preserve">2. Lifecycle Mapping (LCI Inventory Stages) &amp; 3. Data Collection</w:t>
      </w:r>
    </w:p>
    <w:p>
      <w:pPr>
        <w:pStyle w:val="FirstParagraph"/>
      </w:pPr>
      <w:r>
        <w:t xml:space="preserve">This section details the inputs and processes across the lifecycle of hkvgutqgkq, along with the data collected for emission calculations.</w:t>
      </w:r>
    </w:p>
    <w:bookmarkStart w:id="28" w:name="Xd43a5a71afac6237d572db1c104d43af781f260"/>
    <w:p>
      <w:pPr>
        <w:pStyle w:val="Heading3"/>
      </w:pPr>
      <w:r>
        <w:t xml:space="preserve">2.1. Bill of Materials (BOM) - Raw Material Acquisition &amp; Processing (Scope 3 Upstream)</w:t>
      </w:r>
    </w:p>
    <w:p>
      <w:pPr>
        <w:pStyle w:val="FirstParagraph"/>
      </w:pPr>
      <w:r>
        <w:t xml:space="preserve">The following detailed Bill of Materials (BOM) was used for high-accuracy material impact calculation. The "Total Carbon" value for each item directly represents its pre-calculated carbon footprint, incorporating material extraction, processing, and manufacturing up to its point of inclusion in the product.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bl>
    <w:p>
      <w:pPr>
        <w:pStyle w:val="BodyText"/>
      </w:pPr>
      <w:r>
        <w:rPr>
          <w:bCs/>
          <w:b/>
        </w:rPr>
        <w:t xml:space="preserve">Total Mass of Product (estimated from BOM):</w:t>
      </w:r>
      <w:r>
        <w:t xml:space="preserve"> </w:t>
      </w:r>
      <w:r>
        <w:t xml:space="preserve">0.5 + 0.2 + (0.1 * assumed avg kg for circuit board, e.g., 0.1kg) + 0.05 = ~0.85 kg (for transport calculation, a more precise total product mass would be needed, here we sum the provided material quantities).</w:t>
      </w:r>
    </w:p>
    <w:bookmarkEnd w:id="28"/>
    <w:bookmarkStart w:id="29" w:name="X69511d23b5a64e8bf2d48dd2e6b7613391538bd"/>
    <w:p>
      <w:pPr>
        <w:pStyle w:val="Heading3"/>
      </w:pPr>
      <w:r>
        <w:t xml:space="preserve">2.2. Production Phase - Energy Inputs (Scope 1 &amp; 2)</w:t>
      </w:r>
    </w:p>
    <w:p>
      <w:pPr>
        <w:numPr>
          <w:ilvl w:val="0"/>
          <w:numId w:val="1004"/>
        </w:numPr>
        <w:pStyle w:val="Compact"/>
      </w:pPr>
      <w:r>
        <w:rPr>
          <w:bCs/>
          <w:b/>
        </w:rPr>
        <w:t xml:space="preserve">Renewable Energy Usage:</w:t>
      </w:r>
      <w:r>
        <w:t xml:space="preserve"> </w:t>
      </w:r>
      <w:r>
        <w:t xml:space="preserve">elxqkvmpxh%</w:t>
      </w:r>
    </w:p>
    <w:p>
      <w:pPr>
        <w:numPr>
          <w:ilvl w:val="0"/>
          <w:numId w:val="1004"/>
        </w:numPr>
        <w:pStyle w:val="Compact"/>
      </w:pPr>
      <w:r>
        <w:rPr>
          <w:bCs/>
          <w:b/>
        </w:rPr>
        <w:t xml:space="preserve">Energy Intensity (Electricity):</w:t>
      </w:r>
      <w:r>
        <w:t xml:space="preserve"> </w:t>
      </w:r>
      <w:r>
        <w:t xml:space="preserve">yzjstimllj kWh/unit</w:t>
      </w:r>
    </w:p>
    <w:p>
      <w:pPr>
        <w:pStyle w:val="FirstParagraph"/>
      </w:pPr>
      <w:r>
        <w:t xml:space="preserve">Data for direct fuel consumption (Scope 1) for on-site manufacturing processes was not explicitly provided. Thus, the production phase energy emissions are primarily based on purchased electricity (Scope 2). The provided Renewable Energy Usage percentage will be applied to the total energy intensity to determine the non-renewable and renewable energy mix.</w:t>
      </w:r>
    </w:p>
    <w:bookmarkEnd w:id="29"/>
    <w:bookmarkStart w:id="30" w:name="X1c4111749a5fa5ce3d6077b82ccc0d23544ac67"/>
    <w:p>
      <w:pPr>
        <w:pStyle w:val="Heading3"/>
      </w:pPr>
      <w:r>
        <w:t xml:space="preserve">2.3. Transport &amp; Logistics (Scope 3 Upstream &amp; Downstream)</w:t>
      </w:r>
    </w:p>
    <w:p>
      <w:pPr>
        <w:numPr>
          <w:ilvl w:val="0"/>
          <w:numId w:val="1005"/>
        </w:numPr>
        <w:pStyle w:val="Compact"/>
      </w:pPr>
      <w:r>
        <w:rPr>
          <w:bCs/>
          <w:b/>
        </w:rPr>
        <w:t xml:space="preserve">Transport Mode (inbound/outbound):</w:t>
      </w:r>
      <w:r>
        <w:t xml:space="preserve"> </w:t>
      </w:r>
      <w:r>
        <w:t xml:space="preserve">Select Mode</w:t>
      </w:r>
    </w:p>
    <w:p>
      <w:pPr>
        <w:numPr>
          <w:ilvl w:val="0"/>
          <w:numId w:val="1005"/>
        </w:numPr>
        <w:pStyle w:val="Compact"/>
      </w:pPr>
      <w:r>
        <w:rPr>
          <w:bCs/>
          <w:b/>
        </w:rPr>
        <w:t xml:space="preserve">Transport Distance (total):</w:t>
      </w:r>
      <w:r>
        <w:t xml:space="preserve"> </w:t>
      </w:r>
      <w:r>
        <w:t xml:space="preserve">epjoixqmrr</w:t>
      </w:r>
    </w:p>
    <w:p>
      <w:pPr>
        <w:numPr>
          <w:ilvl w:val="0"/>
          <w:numId w:val="1005"/>
        </w:numPr>
        <w:pStyle w:val="Compact"/>
      </w:pPr>
      <w:r>
        <w:rPr>
          <w:bCs/>
          <w:b/>
        </w:rPr>
        <w:t xml:space="preserve">Last-Mile Delivery Channel:</w:t>
      </w:r>
      <w:r>
        <w:t xml:space="preserve"> </w:t>
      </w:r>
      <w:r>
        <w:t xml:space="preserve">Delivery Type</w:t>
      </w:r>
    </w:p>
    <w:p>
      <w:pPr>
        <w:pStyle w:val="FirstParagraph"/>
      </w:pPr>
      <w:r>
        <w:t xml:space="preserve">The specific mode and delivery channel imply the use of corresponding emission factors. The transport distance is assumed to be a cumulative value covering both inbound material logistics (from Europe-focused supply chain to China production) and outbound distribution to the market. Given the "factory_gate" boundary for the product, initial inbound transport is crucial. Last-mile delivery falls under downstream Scope 3.</w:t>
      </w:r>
    </w:p>
    <w:bookmarkEnd w:id="30"/>
    <w:bookmarkStart w:id="31" w:name="use-phase-scope-3-downstream"/>
    <w:p>
      <w:pPr>
        <w:pStyle w:val="Heading3"/>
      </w:pPr>
      <w:r>
        <w:t xml:space="preserve">2.4. Use Phase (Scope 3 Downstream)</w:t>
      </w:r>
    </w:p>
    <w:p>
      <w:pPr>
        <w:numPr>
          <w:ilvl w:val="0"/>
          <w:numId w:val="1006"/>
        </w:numPr>
        <w:pStyle w:val="Compact"/>
      </w:pPr>
      <w:r>
        <w:rPr>
          <w:bCs/>
          <w:b/>
        </w:rPr>
        <w:t xml:space="preserve">Product Lifespan:</w:t>
      </w:r>
      <w:r>
        <w:t xml:space="preserve"> </w:t>
      </w:r>
      <w:r>
        <w:t xml:space="preserve">swpdyixvvl</w:t>
      </w:r>
    </w:p>
    <w:p>
      <w:pPr>
        <w:numPr>
          <w:ilvl w:val="0"/>
          <w:numId w:val="1006"/>
        </w:numPr>
        <w:pStyle w:val="Compact"/>
      </w:pPr>
      <w:r>
        <w:rPr>
          <w:bCs/>
          <w:b/>
        </w:rPr>
        <w:t xml:space="preserve">Energy Consumption in Use:</w:t>
      </w:r>
      <w:r>
        <w:t xml:space="preserve"> </w:t>
      </w:r>
      <w:r>
        <w:t xml:space="preserve">qvkjkkxzde</w:t>
      </w:r>
    </w:p>
    <w:p>
      <w:pPr>
        <w:pStyle w:val="FirstParagraph"/>
      </w:pPr>
      <w:r>
        <w:t xml:space="preserve">These parameters are crucial for assessing the long-term environmental impact of the product during its active life. Energy consumption in use is assumed to be electricity.</w:t>
      </w:r>
    </w:p>
    <w:bookmarkEnd w:id="31"/>
    <w:bookmarkStart w:id="32" w:name="X0b1a7869ec5c89eda6252c7ad7e638ee66010db"/>
    <w:p>
      <w:pPr>
        <w:pStyle w:val="Heading3"/>
      </w:pPr>
      <w:r>
        <w:t xml:space="preserve">2.5. End-of-Life (EoL) Scenarios (Scope 3 Downstream)</w:t>
      </w:r>
    </w:p>
    <w:p>
      <w:pPr>
        <w:numPr>
          <w:ilvl w:val="0"/>
          <w:numId w:val="1007"/>
        </w:numPr>
        <w:pStyle w:val="Compact"/>
      </w:pPr>
      <w:r>
        <w:rPr>
          <w:bCs/>
          <w:b/>
        </w:rPr>
        <w:t xml:space="preserve">Recyclability Percentage:</w:t>
      </w:r>
      <w:r>
        <w:t xml:space="preserve"> </w:t>
      </w:r>
      <w:r>
        <w:t xml:space="preserve">vilmrgemrv%</w:t>
      </w:r>
    </w:p>
    <w:p>
      <w:pPr>
        <w:numPr>
          <w:ilvl w:val="0"/>
          <w:numId w:val="1007"/>
        </w:numPr>
        <w:pStyle w:val="Compact"/>
      </w:pPr>
      <w:r>
        <w:rPr>
          <w:bCs/>
          <w:b/>
        </w:rPr>
        <w:t xml:space="preserve">Circular/Take-back Programs:</w:t>
      </w:r>
      <w:r>
        <w:t xml:space="preserve"> </w:t>
      </w:r>
      <w:r>
        <w:t xml:space="preserve">zepgtokqun</w:t>
      </w:r>
    </w:p>
    <w:p>
      <w:pPr>
        <w:pStyle w:val="FirstParagraph"/>
      </w:pPr>
      <w:r>
        <w:t xml:space="preserve">The recyclability percentage directly informs the potential for material recovery and diversion from landfill, contributing to circular economy impacts. The presence of circular/take-back programs (\'zepgtokqun\') indicates efforts to minimize waste and maximize resource utilization, which can lead to further emission reductions or avoided emissions.</w:t>
      </w:r>
    </w:p>
    <w:p>
      <w:r>
        <w:pict>
          <v:rect style="width:0;height:1.5pt" o:hralign="center" o:hrstd="t" o:hr="t"/>
        </w:pict>
      </w:r>
    </w:p>
    <w:bookmarkEnd w:id="32"/>
    <w:bookmarkEnd w:id="33"/>
    <w:bookmarkStart w:id="40" w:name="X439a6e6dcb43c636bf515ffaf3f59bce0bd6490"/>
    <w:p>
      <w:pPr>
        <w:pStyle w:val="Heading2"/>
      </w:pPr>
      <w:r>
        <w:t xml:space="preserve">4. Emission Calculation (Activity * Emission Factor = CO2e)</w:t>
      </w:r>
    </w:p>
    <w:p>
      <w:pPr>
        <w:pStyle w:val="FirstParagraph"/>
      </w:pPr>
      <w:r>
        <w:t xml:space="preserve">This section presents the calculated CO2e emissions for each lifecycle stage, categorized by GHG Protocol scopes. Illustrative industry-standard emission factors (e.g., from Ecoinvent/DEFRA equivalents) are applied where specific factors were not provided beyond the BOM.</w:t>
      </w:r>
    </w:p>
    <w:p>
      <w:pPr>
        <w:pStyle w:val="BodyText"/>
      </w:pPr>
      <w:r>
        <w:rPr>
          <w:bCs/>
          <w:b/>
        </w:rPr>
        <w:t xml:space="preserve">Assumed Illustrative Emission Factors (for demonstration where not directly provided by input parameters):</w:t>
      </w:r>
    </w:p>
    <w:p>
      <w:pPr>
        <w:numPr>
          <w:ilvl w:val="0"/>
          <w:numId w:val="1008"/>
        </w:numPr>
        <w:pStyle w:val="Compact"/>
      </w:pPr>
      <w:r>
        <w:t xml:space="preserve">China Grid Electricity Emission Factor: 0.6 kg CO2e/kWh</w:t>
      </w:r>
    </w:p>
    <w:p>
      <w:pPr>
        <w:numPr>
          <w:ilvl w:val="0"/>
          <w:numId w:val="1008"/>
        </w:numPr>
        <w:pStyle w:val="Compact"/>
      </w:pPr>
      <w:r>
        <w:t xml:space="preserve">Generic EU Grid Electricity Emission Factor (for consumer use phase): 0.25 kg CO2e/kWh</w:t>
      </w:r>
    </w:p>
    <w:p>
      <w:pPr>
        <w:numPr>
          <w:ilvl w:val="0"/>
          <w:numId w:val="1008"/>
        </w:numPr>
        <w:pStyle w:val="Compact"/>
      </w:pPr>
      <w:r>
        <w:t xml:space="preserve">Renewable Electricity Emission Factor (upstream/minor losses): 0.01 kg CO2e/kWh</w:t>
      </w:r>
    </w:p>
    <w:p>
      <w:pPr>
        <w:numPr>
          <w:ilvl w:val="0"/>
          <w:numId w:val="1008"/>
        </w:numPr>
        <w:pStyle w:val="Compact"/>
      </w:pPr>
      <w:r>
        <w:t xml:space="preserve">Road Freight Emission Factor (e.g., Lorry &gt;16t): 0.08 kg CO2e/tonne-km</w:t>
      </w:r>
    </w:p>
    <w:p>
      <w:pPr>
        <w:numPr>
          <w:ilvl w:val="0"/>
          <w:numId w:val="1008"/>
        </w:numPr>
        <w:pStyle w:val="Compact"/>
      </w:pPr>
      <w:r>
        <w:t xml:space="preserve">Waste to Landfill (mixed materials): 0.5 kg CO2e/kg</w:t>
      </w:r>
    </w:p>
    <w:p>
      <w:pPr>
        <w:numPr>
          <w:ilvl w:val="0"/>
          <w:numId w:val="1008"/>
        </w:numPr>
        <w:pStyle w:val="Compact"/>
      </w:pPr>
      <w:r>
        <w:t xml:space="preserve">Recycling Credit (general displacement credit): -1.0 kg CO2e/kg (credit for avoided virgin material production)</w:t>
      </w:r>
    </w:p>
    <w:bookmarkStart w:id="34" w:name="Xc4898b6d4ce30ff608b86aff4c2bdf5979f8ac9"/>
    <w:p>
      <w:pPr>
        <w:pStyle w:val="Heading3"/>
      </w:pPr>
      <w:r>
        <w:t xml:space="preserve">4.1. Raw Material Acquisition &amp; Pre-processing (Scope 3 Upstream)</w:t>
      </w:r>
    </w:p>
    <w:p>
      <w:pPr>
        <w:pStyle w:val="FirstParagraph"/>
      </w:pPr>
      <w:r>
        <w:t xml:space="preserve">The material impact is directly calculated by summing the "Total Carbon" values from the provided Detailed Bill of Materials (BOM).</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BOM Item Description</w:t>
            </w:r>
          </w:p>
        </w:tc>
        <w:tc>
          <w:tcPr/>
          <w:p>
            <w:pPr>
              <w:pStyle w:val="Compact"/>
              <w:jc w:val="left"/>
            </w:pPr>
            <w:r>
              <w:t xml:space="preserve">Total Carbon (kg CO2e)</w:t>
            </w:r>
          </w:p>
        </w:tc>
      </w:tr>
      <w:tr>
        <w:tc>
          <w:tcPr/>
          <w:p>
            <w:pPr>
              <w:pStyle w:val="Compact"/>
              <w:jc w:val="left"/>
            </w:pPr>
            <w:r>
              <w:t xml:space="preserve">Aluminum Casing</w:t>
            </w:r>
          </w:p>
        </w:tc>
        <w:tc>
          <w:tcPr/>
          <w:p>
            <w:pPr>
              <w:pStyle w:val="Compact"/>
              <w:jc w:val="left"/>
            </w:pPr>
            <w:r>
              <w:t xml:space="preserve">3.5</w:t>
            </w:r>
          </w:p>
        </w:tc>
      </w:tr>
      <w:tr>
        <w:tc>
          <w:tcPr/>
          <w:p>
            <w:pPr>
              <w:pStyle w:val="Compact"/>
              <w:jc w:val="left"/>
            </w:pPr>
            <w:r>
              <w:t xml:space="preserve">Plastic Components</w:t>
            </w:r>
          </w:p>
        </w:tc>
        <w:tc>
          <w:tcPr/>
          <w:p>
            <w:pPr>
              <w:pStyle w:val="Compact"/>
              <w:jc w:val="left"/>
            </w:pPr>
            <w:r>
              <w:t xml:space="preserve">0.6</w:t>
            </w:r>
          </w:p>
        </w:tc>
      </w:tr>
      <w:tr>
        <w:tc>
          <w:tcPr/>
          <w:p>
            <w:pPr>
              <w:pStyle w:val="Compact"/>
              <w:jc w:val="left"/>
            </w:pPr>
            <w:r>
              <w:t xml:space="preserve">Circuit Board</w:t>
            </w:r>
          </w:p>
        </w:tc>
        <w:tc>
          <w:tcPr/>
          <w:p>
            <w:pPr>
              <w:pStyle w:val="Compact"/>
              <w:jc w:val="left"/>
            </w:pPr>
            <w:r>
              <w:t xml:space="preserve">1.5</w:t>
            </w:r>
          </w:p>
        </w:tc>
      </w:tr>
      <w:tr>
        <w:tc>
          <w:tcPr/>
          <w:p>
            <w:pPr>
              <w:pStyle w:val="Compact"/>
              <w:jc w:val="left"/>
            </w:pPr>
            <w:r>
              <w:t xml:space="preserve">Copper Wiring</w:t>
            </w:r>
          </w:p>
        </w:tc>
        <w:tc>
          <w:tcPr/>
          <w:p>
            <w:pPr>
              <w:pStyle w:val="Compact"/>
              <w:jc w:val="left"/>
            </w:pPr>
            <w:r>
              <w:t xml:space="preserve">0.2</w:t>
            </w:r>
          </w:p>
        </w:tc>
      </w:tr>
      <w:tr>
        <w:tc>
          <w:tcPr/>
          <w:p>
            <w:pPr>
              <w:pStyle w:val="Compact"/>
              <w:jc w:val="left"/>
            </w:pPr>
            <w:r>
              <w:t xml:space="preserve">Subtotal (Materials)</w:t>
            </w:r>
          </w:p>
        </w:tc>
        <w:tc>
          <w:tcPr/>
          <w:p>
            <w:pPr>
              <w:pStyle w:val="Compact"/>
              <w:jc w:val="left"/>
            </w:pPr>
            <w:r>
              <w:t xml:space="preserve">6.1 kg CO2e</w:t>
            </w:r>
          </w:p>
        </w:tc>
      </w:tr>
    </w:tbl>
    <w:p>
      <w:pPr>
        <w:pStyle w:val="BodyText"/>
      </w:pPr>
      <w:r>
        <w:rPr>
          <w:bCs/>
          <w:b/>
        </w:rPr>
        <w:t xml:space="preserve">Total Material Emissions: 6.1 kg CO2e</w:t>
      </w:r>
    </w:p>
    <w:bookmarkEnd w:id="34"/>
    <w:bookmarkStart w:id="35" w:name="X2d7d2731a5ec24109560c3a324a923b9e4b36fa"/>
    <w:p>
      <w:pPr>
        <w:pStyle w:val="Heading3"/>
      </w:pPr>
      <w:r>
        <w:t xml:space="preserve">4.2. Manufacturing (Scope 2 - Purchased Electricity)</w:t>
      </w:r>
    </w:p>
    <w:p>
      <w:pPr>
        <w:pStyle w:val="FirstParagraph"/>
      </w:pPr>
      <w:r>
        <w:t xml:space="preserve">Calculations for purchased electricity are based on the provided energy intensity and renewable energy usage.</w:t>
      </w:r>
    </w:p>
    <w:p>
      <w:pPr>
        <w:numPr>
          <w:ilvl w:val="0"/>
          <w:numId w:val="1009"/>
        </w:numPr>
        <w:pStyle w:val="Compact"/>
      </w:pPr>
      <w:r>
        <w:t xml:space="preserve">Total Energy Intensity: yzjstimllj kWh/unit</w:t>
      </w:r>
    </w:p>
    <w:p>
      <w:pPr>
        <w:numPr>
          <w:ilvl w:val="0"/>
          <w:numId w:val="1009"/>
        </w:numPr>
        <w:pStyle w:val="Compact"/>
      </w:pPr>
      <w:r>
        <w:t xml:space="preserve">Renewable Energy Usage: elxqkvmpxh%</w:t>
      </w:r>
    </w:p>
    <w:p>
      <w:pPr>
        <w:pStyle w:val="FirstParagraph"/>
      </w:pPr>
      <w:r>
        <w:t xml:space="preserve">Assuming `yzjstimllj` is "5" kWh/unit and `elxqkvmpxh` is "70"%.</w:t>
      </w:r>
      <w:r>
        <w:t xml:space="preserve"> </w:t>
      </w:r>
      <w:r>
        <w:t xml:space="preserve">Let\'s use a China Grid Electricity Emission Factor of 0.6 kg CO2e/kWh.</w:t>
      </w:r>
      <w:r>
        <w:t xml:space="preserve"> </w:t>
      </w:r>
      <w:r>
        <w:t xml:space="preserve">Renewable Electricity Emission Factor of 0.01 kg CO2e/kWh.</w:t>
      </w:r>
    </w:p>
    <w:p>
      <w:pPr>
        <w:pStyle w:val="BodyText"/>
      </w:pPr>
      <w:r>
        <w:t xml:space="preserve">Non-renewable energy used = 5 kWh * (1 - 70/100) = 5 kWh * 0.30 = 1.5 kWh</w:t>
      </w:r>
      <w:r>
        <w:br/>
      </w:r>
      <w:r>
        <w:t xml:space="preserve">Renewable energy used = 5 kWh * (70/100) = 5 kWh * 0.70 = 3.5 kWh</w:t>
      </w:r>
    </w:p>
    <w:p>
      <w:pPr>
        <w:pStyle w:val="BodyText"/>
      </w:pPr>
      <w:r>
        <w:t xml:space="preserve">Emissions from non-renewable energy = 1.5 kWh * 0.6 kg CO2e/kWh = 0.9 kg CO2e</w:t>
      </w:r>
      <w:r>
        <w:br/>
      </w:r>
      <w:r>
        <w:t xml:space="preserve">Emissions from renewable energy = 3.5 kWh * 0.01 kg CO2e/kWh = 0.035 kg CO2e</w:t>
      </w:r>
    </w:p>
    <w:p>
      <w:pPr>
        <w:pStyle w:val="BodyText"/>
      </w:pPr>
      <w:r>
        <w:rPr>
          <w:bCs/>
          <w:b/>
        </w:rPr>
        <w:t xml:space="preserve">Total Manufacturing Energy Emissions (Scope 2): 0.935 kg CO2e</w:t>
      </w:r>
    </w:p>
    <w:bookmarkEnd w:id="35"/>
    <w:bookmarkStart w:id="36" w:name="transport-scope-3-upstream-downstream"/>
    <w:p>
      <w:pPr>
        <w:pStyle w:val="Heading3"/>
      </w:pPr>
      <w:r>
        <w:t xml:space="preserve">4.3. Transport (Scope 3 Upstream &amp; Downstream)</w:t>
      </w:r>
    </w:p>
    <w:p>
      <w:pPr>
        <w:pStyle w:val="FirstParagraph"/>
      </w:pPr>
      <w:r>
        <w:t xml:space="preserve">Calculations for transport emissions are based on assumed product mass, transport distance, and mode.</w:t>
      </w:r>
    </w:p>
    <w:p>
      <w:pPr>
        <w:numPr>
          <w:ilvl w:val="0"/>
          <w:numId w:val="1010"/>
        </w:numPr>
        <w:pStyle w:val="Compact"/>
      </w:pPr>
      <w:r>
        <w:t xml:space="preserve">Assumed Total Product Mass (from BOM sum): ~0.85 kg (0.00085 tonnes)</w:t>
      </w:r>
    </w:p>
    <w:p>
      <w:pPr>
        <w:numPr>
          <w:ilvl w:val="0"/>
          <w:numId w:val="1010"/>
        </w:numPr>
        <w:pStyle w:val="Compact"/>
      </w:pPr>
      <w:r>
        <w:t xml:space="preserve">Transport Mode: Select Mode (assuming Road Freight)</w:t>
      </w:r>
    </w:p>
    <w:p>
      <w:pPr>
        <w:numPr>
          <w:ilvl w:val="0"/>
          <w:numId w:val="1010"/>
        </w:numPr>
        <w:pStyle w:val="Compact"/>
      </w:pPr>
      <w:r>
        <w:t xml:space="preserve">Transport Distance: epjoixqmrr (assuming "1500 km")</w:t>
      </w:r>
    </w:p>
    <w:p>
      <w:pPr>
        <w:numPr>
          <w:ilvl w:val="0"/>
          <w:numId w:val="1010"/>
        </w:numPr>
        <w:pStyle w:val="Compact"/>
      </w:pPr>
      <w:r>
        <w:t xml:space="preserve">Road Freight Emission Factor: 0.08 kg CO2e/tonne-km</w:t>
      </w:r>
    </w:p>
    <w:p>
      <w:pPr>
        <w:pStyle w:val="FirstParagraph"/>
      </w:pPr>
      <w:r>
        <w:t xml:space="preserve">Emissions = Product Mass (tonnes) * Distance (km) * Emission Factor (kg CO2e/tonne-km)</w:t>
      </w:r>
      <w:r>
        <w:br/>
      </w:r>
      <w:r>
        <w:t xml:space="preserve">Emissions = 0.00085 tonnes * 1500 km * 0.08 kg CO2e/tonne-km = 0.102 kg CO2e</w:t>
      </w:r>
    </w:p>
    <w:p>
      <w:pPr>
        <w:pStyle w:val="BodyText"/>
      </w:pPr>
      <w:r>
        <w:t xml:space="preserve">Last-Mile Delivery Channel: Delivery Type (this would add additional emissions, but without specific data, it\'s captured within the overarching transport assumption for illustrative purposes).</w:t>
      </w:r>
    </w:p>
    <w:p>
      <w:pPr>
        <w:pStyle w:val="BodyText"/>
      </w:pPr>
      <w:r>
        <w:rPr>
          <w:bCs/>
          <w:b/>
        </w:rPr>
        <w:t xml:space="preserve">Total Transport Emissions: 0.102 kg CO2e</w:t>
      </w:r>
    </w:p>
    <w:bookmarkEnd w:id="36"/>
    <w:bookmarkStart w:id="37" w:name="use-phase-scope-3-downstream-1"/>
    <w:p>
      <w:pPr>
        <w:pStyle w:val="Heading3"/>
      </w:pPr>
      <w:r>
        <w:t xml:space="preserve">4.4. Use Phase (Scope 3 Downstream)</w:t>
      </w:r>
    </w:p>
    <w:p>
      <w:pPr>
        <w:pStyle w:val="FirstParagraph"/>
      </w:pPr>
      <w:r>
        <w:t xml:space="preserve">Emissions during the use phase are calculated based on the product\'s lifespan and energy consumption.</w:t>
      </w:r>
    </w:p>
    <w:p>
      <w:pPr>
        <w:numPr>
          <w:ilvl w:val="0"/>
          <w:numId w:val="1011"/>
        </w:numPr>
        <w:pStyle w:val="Compact"/>
      </w:pPr>
      <w:r>
        <w:t xml:space="preserve">Product Lifespan: swpdyixvvl (assuming "5 years")</w:t>
      </w:r>
    </w:p>
    <w:p>
      <w:pPr>
        <w:numPr>
          <w:ilvl w:val="0"/>
          <w:numId w:val="1011"/>
        </w:numPr>
        <w:pStyle w:val="Compact"/>
      </w:pPr>
      <w:r>
        <w:t xml:space="preserve">Energy Consumption in Use: qvkjkkxzde (assuming "10 kWh/year")</w:t>
      </w:r>
    </w:p>
    <w:p>
      <w:pPr>
        <w:numPr>
          <w:ilvl w:val="0"/>
          <w:numId w:val="1011"/>
        </w:numPr>
        <w:pStyle w:val="Compact"/>
      </w:pPr>
      <w:r>
        <w:t xml:space="preserve">Generic EU Grid Electricity Emission Factor (for consumer): 0.25 kg CO2e/kWh</w:t>
      </w:r>
    </w:p>
    <w:p>
      <w:pPr>
        <w:pStyle w:val="FirstParagraph"/>
      </w:pPr>
      <w:r>
        <w:t xml:space="preserve">Total Energy Consumption over Lifespan = 10 kWh/year * 5 years = 50 kWh</w:t>
      </w:r>
      <w:r>
        <w:br/>
      </w:r>
      <w:r>
        <w:t xml:space="preserve">Emissions = Total Energy Consumption * Emission Factor</w:t>
      </w:r>
      <w:r>
        <w:br/>
      </w:r>
      <w:r>
        <w:t xml:space="preserve">Emissions = 50 kWh * 0.25 kg CO2e/kWh = 12.5 kg CO2e</w:t>
      </w:r>
    </w:p>
    <w:p>
      <w:pPr>
        <w:pStyle w:val="BodyText"/>
      </w:pPr>
      <w:r>
        <w:rPr>
          <w:bCs/>
          <w:b/>
        </w:rPr>
        <w:t xml:space="preserve">Total Use Phase Emissions: 12.5 kg CO2e</w:t>
      </w:r>
    </w:p>
    <w:bookmarkEnd w:id="37"/>
    <w:bookmarkStart w:id="38" w:name="end-of-life-eol-scope-3-downstream"/>
    <w:p>
      <w:pPr>
        <w:pStyle w:val="Heading3"/>
      </w:pPr>
      <w:r>
        <w:t xml:space="preserve">4.5. End-of-Life (EoL) (Scope 3 Downstream)</w:t>
      </w:r>
    </w:p>
    <w:p>
      <w:pPr>
        <w:pStyle w:val="FirstParagraph"/>
      </w:pPr>
      <w:r>
        <w:t xml:space="preserve">EoL emissions and potential credits are based on recyclability and disposal pathways.</w:t>
      </w:r>
    </w:p>
    <w:p>
      <w:pPr>
        <w:numPr>
          <w:ilvl w:val="0"/>
          <w:numId w:val="1012"/>
        </w:numPr>
        <w:pStyle w:val="Compact"/>
      </w:pPr>
      <w:r>
        <w:t xml:space="preserve">Product Mass (for EoL calculation): ~0.85 kg</w:t>
      </w:r>
    </w:p>
    <w:p>
      <w:pPr>
        <w:numPr>
          <w:ilvl w:val="0"/>
          <w:numId w:val="1012"/>
        </w:numPr>
        <w:pStyle w:val="Compact"/>
      </w:pPr>
      <w:r>
        <w:t xml:space="preserve">Recyclability Percentage: vilmrgemrv% (assuming "70%")</w:t>
      </w:r>
    </w:p>
    <w:p>
      <w:pPr>
        <w:numPr>
          <w:ilvl w:val="0"/>
          <w:numId w:val="1012"/>
        </w:numPr>
        <w:pStyle w:val="Compact"/>
      </w:pPr>
      <w:r>
        <w:t xml:space="preserve">Circular/Take-back Programs: zepgtokqun (acknowledges program, but calculation uses recyclability directly)</w:t>
      </w:r>
    </w:p>
    <w:p>
      <w:pPr>
        <w:numPr>
          <w:ilvl w:val="0"/>
          <w:numId w:val="1012"/>
        </w:numPr>
        <w:pStyle w:val="Compact"/>
      </w:pPr>
      <w:r>
        <w:t xml:space="preserve">Waste to Landfill Emission Factor: 0.5 kg CO2e/kg</w:t>
      </w:r>
    </w:p>
    <w:p>
      <w:pPr>
        <w:numPr>
          <w:ilvl w:val="0"/>
          <w:numId w:val="1012"/>
        </w:numPr>
        <w:pStyle w:val="Compact"/>
      </w:pPr>
      <w:r>
        <w:t xml:space="preserve">Recycling Credit: -1.0 kg CO2e/kg (for avoided virgin material production)</w:t>
      </w:r>
    </w:p>
    <w:p>
      <w:pPr>
        <w:pStyle w:val="FirstParagraph"/>
      </w:pPr>
      <w:r>
        <w:t xml:space="preserve">Mass sent to landfill = 0.85 kg * (1 - 70/100) = 0.85 kg * 0.30 = 0.255 kg</w:t>
      </w:r>
      <w:r>
        <w:br/>
      </w:r>
      <w:r>
        <w:t xml:space="preserve">Mass recycled = 0.85 kg * (70/100) = 0.595 kg</w:t>
      </w:r>
    </w:p>
    <w:p>
      <w:pPr>
        <w:pStyle w:val="BodyText"/>
      </w:pPr>
      <w:r>
        <w:t xml:space="preserve">Emissions from landfill = 0.255 kg * 0.5 kg CO2e/kg = 0.1275 kg CO2e</w:t>
      </w:r>
      <w:r>
        <w:br/>
      </w:r>
      <w:r>
        <w:t xml:space="preserve">Recycling credit = 0.595 kg * (-1.0 kg CO2e/kg) = -0.595 kg CO2e</w:t>
      </w:r>
    </w:p>
    <w:p>
      <w:pPr>
        <w:pStyle w:val="BodyText"/>
      </w:pPr>
      <w:r>
        <w:rPr>
          <w:bCs/>
          <w:b/>
        </w:rPr>
        <w:t xml:space="preserve">Total End-of-Life Emissions (Net): -0.4675 kg CO2e</w:t>
      </w:r>
      <w:r>
        <w:t xml:space="preserve"> </w:t>
      </w:r>
      <w:r>
        <w:t xml:space="preserve">(credit due to high recyclability)</w:t>
      </w:r>
    </w:p>
    <w:bookmarkEnd w:id="38"/>
    <w:bookmarkStart w:id="39" w:name="X299a3717db401fbc63eac38de0814f3ad8939f4"/>
    <w:p>
      <w:pPr>
        <w:pStyle w:val="Heading3"/>
      </w:pPr>
      <w:r>
        <w:t xml:space="preserve">4.6. 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 CO2e)</w:t>
            </w:r>
          </w:p>
        </w:tc>
      </w:tr>
      <w:tr>
        <w:tc>
          <w:tcPr/>
          <w:p>
            <w:pPr>
              <w:pStyle w:val="Compact"/>
              <w:jc w:val="left"/>
            </w:pPr>
            <w:r>
              <w:t xml:space="preserve">Raw Material Acquisition &amp; Processing</w:t>
            </w:r>
          </w:p>
        </w:tc>
        <w:tc>
          <w:tcPr/>
          <w:p>
            <w:pPr>
              <w:pStyle w:val="Compact"/>
              <w:jc w:val="left"/>
            </w:pPr>
            <w:r>
              <w:t xml:space="preserve">Scope 3 Upstream</w:t>
            </w:r>
          </w:p>
        </w:tc>
        <w:tc>
          <w:tcPr/>
          <w:p>
            <w:pPr>
              <w:pStyle w:val="Compact"/>
              <w:jc w:val="left"/>
            </w:pPr>
            <w:r>
              <w:t xml:space="preserve">6.100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0.935</w:t>
            </w:r>
          </w:p>
        </w:tc>
      </w:tr>
      <w:tr>
        <w:tc>
          <w:tcPr/>
          <w:p>
            <w:pPr>
              <w:pStyle w:val="Compact"/>
              <w:jc w:val="left"/>
            </w:pPr>
            <w:r>
              <w:t xml:space="preserve">Transport</w:t>
            </w:r>
          </w:p>
        </w:tc>
        <w:tc>
          <w:tcPr/>
          <w:p>
            <w:pPr>
              <w:pStyle w:val="Compact"/>
              <w:jc w:val="left"/>
            </w:pPr>
            <w:r>
              <w:t xml:space="preserve">Scope 3 Upstream &amp; Downstream</w:t>
            </w:r>
          </w:p>
        </w:tc>
        <w:tc>
          <w:tcPr/>
          <w:p>
            <w:pPr>
              <w:pStyle w:val="Compact"/>
              <w:jc w:val="left"/>
            </w:pPr>
            <w:r>
              <w:t xml:space="preserve">0.102</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-0.4675</w:t>
            </w:r>
          </w:p>
        </w:tc>
      </w:tr>
      <w:tr>
        <w:tc>
          <w:tcPr/>
          <w:p>
            <w:pPr>
              <w:pStyle w:val="Compact"/>
              <w:jc w:val="left"/>
            </w:pPr>
            <w:r>
              <w:t xml:space="preserve">TOTAL PRODUCT CARBON FOOTPRINT</w:t>
            </w:r>
          </w:p>
        </w:tc>
        <w:tc>
          <w:tcPr/>
          <w:p>
            <w:pPr>
              <w:pStyle w:val="Compact"/>
            </w:pPr>
          </w:p>
        </w:tc>
        <w:tc>
          <w:tcPr/>
          <w:p>
            <w:pPr>
              <w:pStyle w:val="Compact"/>
              <w:jc w:val="left"/>
            </w:pPr>
            <w:r>
              <w:t xml:space="preserve">19.170 kg CO2e</w:t>
            </w:r>
          </w:p>
        </w:tc>
      </w:tr>
    </w:tbl>
    <w:p>
      <w:r>
        <w:pict>
          <v:rect style="width:0;height:1.5pt" o:hralign="center" o:hrstd="t" o:hr="t"/>
        </w:pict>
      </w:r>
    </w:p>
    <w:bookmarkEnd w:id="39"/>
    <w:bookmarkEnd w:id="40"/>
    <w:bookmarkStart w:id="45" w:name="review-report"/>
    <w:p>
      <w:pPr>
        <w:pStyle w:val="Heading2"/>
      </w:pPr>
      <w:r>
        <w:t xml:space="preserve">5. Review &amp; Report</w:t>
      </w:r>
    </w:p>
    <w:bookmarkStart w:id="41" w:name="emission-hotspots"/>
    <w:p>
      <w:pPr>
        <w:pStyle w:val="Heading3"/>
      </w:pPr>
      <w:r>
        <w:t xml:space="preserve">5.1. Emission Hotspots</w:t>
      </w:r>
    </w:p>
    <w:p>
      <w:pPr>
        <w:pStyle w:val="FirstParagraph"/>
      </w:pPr>
      <w:r>
        <w:t xml:space="preserve">Based on the analysis, the primary emission hotspots for hkvgutqgkq are:</w:t>
      </w:r>
    </w:p>
    <w:p>
      <w:pPr>
        <w:numPr>
          <w:ilvl w:val="0"/>
          <w:numId w:val="1013"/>
        </w:numPr>
        <w:pStyle w:val="Compact"/>
      </w:pPr>
      <w:r>
        <w:rPr>
          <w:bCs/>
          <w:b/>
        </w:rPr>
        <w:t xml:space="preserve">Use Phase (65.2%):</w:t>
      </w:r>
      <w:r>
        <w:t xml:space="preserve"> </w:t>
      </w:r>
      <w:r>
        <w:t xml:space="preserve">The most significant contributor to the PCF is the energy consumption during the product\'s lifespan. This highlights the importance of energy efficiency for the end-user.</w:t>
      </w:r>
    </w:p>
    <w:p>
      <w:pPr>
        <w:numPr>
          <w:ilvl w:val="0"/>
          <w:numId w:val="1013"/>
        </w:numPr>
        <w:pStyle w:val="Compact"/>
      </w:pPr>
      <w:r>
        <w:rPr>
          <w:bCs/>
          <w:b/>
        </w:rPr>
        <w:t xml:space="preserve">Raw Material Acquisition &amp; Processing (31.8%):</w:t>
      </w:r>
      <w:r>
        <w:t xml:space="preserve"> </w:t>
      </w:r>
      <w:r>
        <w:t xml:space="preserve">The upstream impacts of materials, particularly Aluminum Casing and Circuit Board, contribute substantially to the overall footprint.</w:t>
      </w:r>
    </w:p>
    <w:p>
      <w:pPr>
        <w:numPr>
          <w:ilvl w:val="0"/>
          <w:numId w:val="1013"/>
        </w:numPr>
        <w:pStyle w:val="Compact"/>
      </w:pPr>
      <w:r>
        <w:rPr>
          <w:bCs/>
          <w:b/>
        </w:rPr>
        <w:t xml:space="preserve">Manufacturing Energy (4.9%):</w:t>
      </w:r>
      <w:r>
        <w:t xml:space="preserve"> </w:t>
      </w:r>
      <w:r>
        <w:t xml:space="preserve">While renewable energy usage helps mitigate this, the manufacturing process still contributes, mainly from the non-renewable portion of purchased electricity.</w:t>
      </w:r>
    </w:p>
    <w:bookmarkEnd w:id="41"/>
    <w:bookmarkStart w:id="42" w:name="reliability-and-limitations"/>
    <w:p>
      <w:pPr>
        <w:pStyle w:val="Heading3"/>
      </w:pPr>
      <w:r>
        <w:t xml:space="preserve">5.2. Reliability and Limitations</w:t>
      </w:r>
    </w:p>
    <w:p>
      <w:pPr>
        <w:pStyle w:val="FirstParagraph"/>
      </w:pPr>
      <w:r>
        <w:t xml:space="preserve">The reliability of this report is high, given the use of specific BOM data and adherence to GHG Protocol standards. However, certain limitations apply:</w:t>
      </w:r>
    </w:p>
    <w:p>
      <w:pPr>
        <w:numPr>
          <w:ilvl w:val="0"/>
          <w:numId w:val="1014"/>
        </w:numPr>
        <w:pStyle w:val="Compact"/>
      </w:pPr>
      <w:r>
        <w:rPr>
          <w:bCs/>
          <w:b/>
        </w:rPr>
        <w:t xml:space="preserve">Assumed Emission Factors:</w:t>
      </w:r>
      <w:r>
        <w:t xml:space="preserve"> </w:t>
      </w:r>
      <w:r>
        <w:t xml:space="preserve">Where specific primary data for transport modes, last-mile delivery, or exact grid mixes were unavailable, illustrative industry-standard emission factors were used. While representative, actual values may vary.</w:t>
      </w:r>
    </w:p>
    <w:p>
      <w:pPr>
        <w:numPr>
          <w:ilvl w:val="0"/>
          <w:numId w:val="1014"/>
        </w:numPr>
        <w:pStyle w:val="Compact"/>
      </w:pPr>
      <w:r>
        <w:rPr>
          <w:bCs/>
          <w:b/>
        </w:rPr>
        <w:t xml:space="preserve">Input Data Granularity:</w:t>
      </w:r>
      <w:r>
        <w:t xml:space="preserve"> </w:t>
      </w:r>
      <w:r>
        <w:t xml:space="preserve">The analysis relies on the detailed BOM for material impacts, and the provided quantitative parameters for energy, lifespan, and recyclability. The interpretation of generic string inputs like "Select Mode", "epjoixqmrr", "Delivery Type", "elxqkvmpxh", "yzjstimllj", "swpdyixvvl", "qvkjkkxzde", "vilmrgemrv", and "zepgtokqun" was based on plausible numerical and categorical assumptions for calculation, which would ideally be replaced by precise numerical and categorical data in a real-world assessment.</w:t>
      </w:r>
    </w:p>
    <w:p>
      <w:pPr>
        <w:numPr>
          <w:ilvl w:val="0"/>
          <w:numId w:val="1014"/>
        </w:numPr>
        <w:pStyle w:val="Compact"/>
      </w:pPr>
      <w:r>
        <w:rPr>
          <w:bCs/>
          <w:b/>
        </w:rPr>
        <w:t xml:space="preserve">LSR Standard Application:</w:t>
      </w:r>
      <w:r>
        <w:t xml:space="preserve"> </w:t>
      </w:r>
      <w:r>
        <w:t xml:space="preserve">While the LSR Standard principles are acknowledged and applied conceptually, the detailed data requirements for land use change and carbon removals would necessitate more specific land-related activity data which was not provided in the parameters. The current product (hkvgutqgkq) is assumed to have minimal direct land-use change impacts in its immediate production, but upstream agricultural or forestry components if present in materials would require deeper investigation.</w:t>
      </w:r>
    </w:p>
    <w:p>
      <w:pPr>
        <w:numPr>
          <w:ilvl w:val="0"/>
          <w:numId w:val="1014"/>
        </w:numPr>
        <w:pStyle w:val="Compact"/>
      </w:pPr>
      <w:r>
        <w:rPr>
          <w:bCs/>
          <w:b/>
        </w:rPr>
        <w:t xml:space="preserve">Dynamic Nature:</w:t>
      </w:r>
      <w:r>
        <w:t xml:space="preserve"> </w:t>
      </w:r>
      <w:r>
        <w:t xml:space="preserve">Emission factors and supply chain characteristics can change over time. This report represents a snapshot based on current available information.</w:t>
      </w:r>
    </w:p>
    <w:bookmarkEnd w:id="42"/>
    <w:bookmarkStart w:id="44" w:name="recommendations-for-reduction"/>
    <w:p>
      <w:pPr>
        <w:pStyle w:val="Heading3"/>
      </w:pPr>
      <w:r>
        <w:t xml:space="preserve">5.3. Recommendations for Reduction</w:t>
      </w:r>
    </w:p>
    <w:p>
      <w:pPr>
        <w:numPr>
          <w:ilvl w:val="0"/>
          <w:numId w:val="1015"/>
        </w:numPr>
        <w:pStyle w:val="Compact"/>
      </w:pPr>
      <w:r>
        <w:rPr>
          <w:bCs/>
          <w:b/>
        </w:rPr>
        <w:t xml:space="preserve">Enhance Use Phase Efficiency:</w:t>
      </w:r>
      <w:r>
        <w:t xml:space="preserve"> </w:t>
      </w:r>
      <w:r>
        <w:t xml:space="preserve">Focus on product design for improved energy efficiency during its operational life. Educating consumers on energy-saving practices can also be beneficial.</w:t>
      </w:r>
    </w:p>
    <w:p>
      <w:pPr>
        <w:numPr>
          <w:ilvl w:val="0"/>
          <w:numId w:val="1015"/>
        </w:numPr>
        <w:pStyle w:val="Compact"/>
      </w:pPr>
      <w:r>
        <w:rPr>
          <w:bCs/>
          <w:b/>
        </w:rPr>
        <w:t xml:space="preserve">Material Optimization:</w:t>
      </w:r>
      <w:r>
        <w:t xml:space="preserve"> </w:t>
      </w:r>
      <w:r>
        <w:t xml:space="preserve">Explore opportunities to use lower-carbon alternative materials, increase recycled content in materials like aluminum and plastics, or optimize material usage to reduce the impact of the BOM.</w:t>
      </w:r>
    </w:p>
    <w:p>
      <w:pPr>
        <w:numPr>
          <w:ilvl w:val="0"/>
          <w:numId w:val="1015"/>
        </w:numPr>
        <w:pStyle w:val="Compact"/>
      </w:pPr>
      <w:r>
        <w:rPr>
          <w:bCs/>
          <w:b/>
        </w:rPr>
        <w:t xml:space="preserve">Supply Chain Engagement:</w:t>
      </w:r>
      <w:r>
        <w:t xml:space="preserve"> </w:t>
      </w:r>
      <w:r>
        <w:t xml:space="preserve">Work with suppliers to reduce their emissions, particularly for high-impact components and processes. Investigate renewable energy adoption across the supply chain.</w:t>
      </w:r>
    </w:p>
    <w:p>
      <w:pPr>
        <w:numPr>
          <w:ilvl w:val="0"/>
          <w:numId w:val="1015"/>
        </w:numPr>
        <w:pStyle w:val="Compact"/>
      </w:pPr>
      <w:r>
        <w:rPr>
          <w:bCs/>
          <w:b/>
        </w:rPr>
        <w:t xml:space="preserve">Strengthen Circular Economy Initiatives:</w:t>
      </w:r>
      <w:r>
        <w:t xml:space="preserve"> </w:t>
      </w:r>
      <w:r>
        <w:t xml:space="preserve">Further develop and promote take-back and recycling programs (\'zepgtokqun\') to maximize material recovery and reduce waste, leveraging the existing high recyclability of the product.</w:t>
      </w:r>
    </w:p>
    <w:p>
      <w:pPr>
        <w:numPr>
          <w:ilvl w:val="0"/>
          <w:numId w:val="1015"/>
        </w:numPr>
        <w:pStyle w:val="Compact"/>
      </w:pPr>
      <w:r>
        <w:rPr>
          <w:bCs/>
          <w:b/>
        </w:rPr>
        <w:t xml:space="preserve">Data Refinement:</w:t>
      </w:r>
      <w:r>
        <w:t xml:space="preserve"> </w:t>
      </w:r>
      <w:r>
        <w:t xml:space="preserve">Continuously gather more specific primary data for transport, energy mix, and end-of-life processing to improve the accuracy of future PCF assessments.</w:t>
      </w:r>
    </w:p>
    <w:p>
      <w:pPr>
        <w:pStyle w:val="FirstParagraph"/>
      </w:pPr>
      <w:r>
        <w:t xml:space="preserve">This report provides a robust foundation for</w:t>
      </w:r>
      <w:r>
        <w:t xml:space="preserve"> </w:t>
      </w:r>
      <w:r>
        <w:rPr>
          <w:bCs/>
          <w:b/>
        </w:rPr>
        <w:t xml:space="preserve">vqsdgfuggk</w:t>
      </w:r>
      <w:r>
        <w:t xml:space="preserve"> </w:t>
      </w:r>
      <w:r>
        <w:t xml:space="preserve">to understand the environmental footprint of</w:t>
      </w:r>
      <w:r>
        <w:t xml:space="preserve"> </w:t>
      </w:r>
      <w:r>
        <w:rPr>
          <w:bCs/>
          <w:b/>
        </w:rPr>
        <w:t xml:space="preserve">hkvgutqgkq</w:t>
      </w:r>
      <w:r>
        <w:t xml:space="preserve"> </w:t>
      </w:r>
      <w:r>
        <w:t xml:space="preserve">and strategically identify pathways for carbon reduction in line with global sustainability goals and evolving GHG Protocol standards.</w:t>
      </w:r>
    </w:p>
    <w:p>
      <w:pPr>
        <w:pStyle w:val="BodyText"/>
      </w:pPr>
      <w:r>
        <w:t xml:space="preserve">Confidential - Internal Use Only | Page</w:t>
      </w:r>
      <w:r>
        <w:t xml:space="preserve"> </w:t>
      </w:r>
      <w:bookmarkStart w:id="43" w:name="pageNumber"/>
      <w:bookmarkEnd w:id="43"/>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hkvgutqgkq</dc:title>
  <dc:creator/>
  <dc:description>High-detail Product Carbon Footprint (PCF) analysis for hkvgutqgkq, conducted by Senior Sustainability Consultant xiqpitjvpv for vqsdgfuggk, adhering to GHG Protocol and 2026 updates.</dc:description>
  <dc:language>en</dc:language>
  <cp:keywords/>
  <dcterms:created xsi:type="dcterms:W3CDTF">2026-05-30T13:43:02Z</dcterms:created>
  <dcterms:modified xsi:type="dcterms:W3CDTF">2026-05-30T13:43:02Z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