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hkrjtpeseu</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hkrjtpeseu</w:t>
      </w:r>
    </w:p>
    <w:p>
      <w:pPr>
        <w:pStyle w:val="BodyText"/>
      </w:pPr>
      <w:r>
        <w:rPr>
          <w:bCs/>
          <w:b/>
        </w:rPr>
        <w:t xml:space="preserve">Company Name:</w:t>
      </w:r>
      <w:r>
        <w:t xml:space="preserve"> </w:t>
      </w:r>
      <w:r>
        <w:t xml:space="preserve">mvzvqizgzd</w:t>
      </w:r>
    </w:p>
    <w:p>
      <w:pPr>
        <w:pStyle w:val="BodyText"/>
      </w:pPr>
      <w:r>
        <w:rPr>
          <w:bCs/>
          <w:b/>
        </w:rPr>
        <w:t xml:space="preserve">Senior Sustainability Consultant:</w:t>
      </w:r>
      <w:r>
        <w:t xml:space="preserve"> </w:t>
      </w:r>
      <w:r>
        <w:t xml:space="preserve">juiputlegh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specific operational details and evolving methodologies.</w:t>
      </w:r>
    </w:p>
    <w:bookmarkEnd w:id="20"/>
    <w:bookmarkStart w:id="41" w:name="Xa01230f03cd5598dbd20a6639ac1d3382ecd24e"/>
    <w:p>
      <w:pPr>
        <w:pStyle w:val="Heading1"/>
      </w:pPr>
      <w:r>
        <w:t xml:space="preserve">Product Carbon Footprint Report for hkrjtpeseu</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"hkrjtpeseu" manufactured by "mvzvqizgzd". The analysis, conducted by Senior Sustainability Consultant juiputlegh, adheres to the GHG Protocol and incorporates proposed 2026 updates, including the Land Sector and Removals (LSR) Standard and enhanced Scope 3 compliance requirements. The primary objective is to quantify the greenhouse gas (GHG) emissions across the product\'s lifecycle, identify emission hotspots, and provide a foundation for strategic decarbonization efforts.</w:t>
      </w:r>
    </w:p>
    <w:p>
      <w:pPr>
        <w:pStyle w:val="BodyText"/>
      </w:pPr>
      <w:r>
        <w:t xml:space="preserve">The assessment covers material acquisition, manufacturing, transportation, use phase, and end-of-life, utilizing specific bill of materials, logistics, energy, and durability data provided. Key findings indicate that the majority of emissions originate from the materials and use phase, offering critical areas for future intervention.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is established by clearly defining the scope, ensuring accuracy, relevance, and consistency with the GHG Protocol.</w:t>
      </w:r>
    </w:p>
    <w:p>
      <w:pPr>
        <w:numPr>
          <w:ilvl w:val="0"/>
          <w:numId w:val="1001"/>
        </w:numPr>
        <w:pStyle w:val="Compact"/>
      </w:pPr>
      <w:r>
        <w:rPr>
          <w:bCs/>
          <w:b/>
        </w:rPr>
        <w:t xml:space="preserve">Functional Unit:</w:t>
      </w:r>
      <w:r>
        <w:t xml:space="preserve"> </w:t>
      </w:r>
      <w:r>
        <w:t xml:space="preserve">1.0 unit of hkrjtpeseu.</w:t>
      </w:r>
    </w:p>
    <w:p>
      <w:pPr>
        <w:numPr>
          <w:ilvl w:val="0"/>
          <w:numId w:val="1001"/>
        </w:numPr>
        <w:pStyle w:val="Compact"/>
      </w:pPr>
      <w:r>
        <w:rPr>
          <w:bCs/>
          <w:b/>
        </w:rPr>
        <w:t xml:space="preserve">System Boundary:</w:t>
      </w:r>
      <w:r>
        <w:t xml:space="preserve"> </w:t>
      </w:r>
      <w:r>
        <w:t xml:space="preserve">Cradle-to-grave, with a primary focus on the \'factory_gate\' for direct operational control, extended to cover the full lifecycle impact.</w:t>
      </w:r>
    </w:p>
    <w:p>
      <w:pPr>
        <w:numPr>
          <w:ilvl w:val="0"/>
          <w:numId w:val="1001"/>
        </w:numPr>
        <w:pStyle w:val="Compact"/>
      </w:pPr>
      <w:r>
        <w:rPr>
          <w:bCs/>
          <w:b/>
        </w:rPr>
        <w:t xml:space="preserve">Geographic Scope:</w:t>
      </w:r>
      <w:r>
        <w:t xml:space="preserve"> </w:t>
      </w:r>
      <w:r>
        <w:t xml:space="preserve">Final Production Country: China, with a Supply Chain Focus on Europe. This implies Chinese electricity grid mix for manufacturing and European-focused transport routes and end-of-life scenarios.</w:t>
      </w:r>
    </w:p>
    <w:p>
      <w:pPr>
        <w:numPr>
          <w:ilvl w:val="0"/>
          <w:numId w:val="1001"/>
        </w:numPr>
        <w:pStyle w:val="Compact"/>
      </w:pPr>
      <w:r>
        <w:rPr>
          <w:bCs/>
          <w:b/>
        </w:rPr>
        <w:t xml:space="preserve">Accounting Standard:</w:t>
      </w:r>
      <w:r>
        <w:t xml:space="preserve"> </w:t>
      </w:r>
      <w:r>
        <w:t xml:space="preserve">This analysis strictly follows the Greenhouse Gas (GHG) Protocol Product Standard for calculating product lifecycle emissions. The GHG Protocol categorizes emissions into three scopes:</w:t>
      </w:r>
    </w:p>
    <w:p>
      <w:pPr>
        <w:numPr>
          <w:ilvl w:val="1"/>
          <w:numId w:val="1002"/>
        </w:numPr>
        <w:pStyle w:val="Compact"/>
      </w:pPr>
      <w:r>
        <w:rPr>
          <w:bCs/>
          <w:b/>
        </w:rPr>
        <w:t xml:space="preserve">Scope 1 (Direct Emissions):</w:t>
      </w:r>
      <w:r>
        <w:t xml:space="preserve"> </w:t>
      </w:r>
      <w:r>
        <w:t xml:space="preserve">GHG emissions from sources owned or controlled by the reporting company (e.g., fuel combustion in company vehicles or facilities). For this \'factory_gate\' analysis, direct manufacturing emissions not from purchased electricity would fall here.</w:t>
      </w:r>
    </w:p>
    <w:p>
      <w:pPr>
        <w:numPr>
          <w:ilvl w:val="1"/>
          <w:numId w:val="1002"/>
        </w:numPr>
        <w:pStyle w:val="Compact"/>
      </w:pPr>
      <w:r>
        <w:rPr>
          <w:bCs/>
          <w:b/>
        </w:rPr>
        <w:t xml:space="preserve">Scope 2 (Indirect Energy Emissions):</w:t>
      </w:r>
      <w:r>
        <w:t xml:space="preserve"> </w:t>
      </w:r>
      <w:r>
        <w:t xml:space="preserve">GHG emissions from the generation of purchased or acquired electricity, steam, heating, or cooling consumed by the reporting company.</w:t>
      </w:r>
    </w:p>
    <w:p>
      <w:pPr>
        <w:numPr>
          <w:ilvl w:val="1"/>
          <w:numId w:val="1002"/>
        </w:numPr>
        <w:pStyle w:val="Compact"/>
      </w:pPr>
      <w:r>
        <w:rPr>
          <w:bCs/>
          <w:b/>
        </w:rPr>
        <w:t xml:space="preserve">Scope 3 (Other Indirect Emissions):</w:t>
      </w:r>
      <w:r>
        <w:t xml:space="preserve"> </w:t>
      </w:r>
      <w:r>
        <w:t xml:space="preserve">All other indirect GHG emissions that occur in the value chain of the reporting company, both upstream and downstream. This includes emissions from purchased goods and services, transportation and distribution, use of sold products, and end-of-life treatment of sold products, among others. For many companies, Scope 3 emissions represent the largest portion of their total carbon footprint.</w:t>
      </w:r>
    </w:p>
    <w:p>
      <w:pPr>
        <w:numPr>
          <w:ilvl w:val="0"/>
          <w:numId w:val="1001"/>
        </w:numPr>
        <w:pStyle w:val="Compact"/>
      </w:pPr>
      <w:r>
        <w:rPr>
          <w:bCs/>
          <w:b/>
        </w:rPr>
        <w:t xml:space="preserve">Allocation:</w:t>
      </w:r>
      <w:r>
        <w:t xml:space="preserve"> </w:t>
      </w:r>
      <w:r>
        <w:t xml:space="preserve">For this single product PCF, no co-products are assumed. Therefore, 100% of the emissions are allocated to the hkrjtpeseu unit.</w:t>
      </w:r>
    </w:p>
    <w:p>
      <w:r>
        <w:pict>
          <v:rect style="width:0;height:1.5pt" o:hralign="center" o:hrstd="t" o:hr="t"/>
        </w:pict>
      </w:r>
    </w:p>
    <w:bookmarkEnd w:id="22"/>
    <w:bookmarkStart w:id="31" w:name="lifecycle-mapping-data-collection"/>
    <w:p>
      <w:pPr>
        <w:pStyle w:val="Heading2"/>
      </w:pPr>
      <w:r>
        <w:t xml:space="preserve">2. &amp; 3. Lifecycle Mapping &amp; Data Collection</w:t>
      </w:r>
    </w:p>
    <w:p>
      <w:pPr>
        <w:pStyle w:val="FirstParagraph"/>
      </w:pPr>
      <w:r>
        <w:t xml:space="preserve">The lifecycle of hkrjtpeseu is mapped across key stages: Material Acquisition, Manufacturing, Transportation, Use Phase, and End-of-Life. Data was collected from the provided parameters and supplemented with industry-standard emission factors where necessary. The total product weight used for transport and end-of-life calculations is estimated at 1.15 kg, based on the sum of material quantities provided in kg and assumed kg for \'unit\' items.</w:t>
      </w:r>
    </w:p>
    <w:bookmarkStart w:id="23" w:name="X6a37f4768beb1a69ad819e05c52141d1c7de8b8"/>
    <w:p>
      <w:pPr>
        <w:pStyle w:val="Heading3"/>
      </w:pPr>
      <w:r>
        <w:t xml:space="preserve">Material Acquisition &amp; Processing (Scope 3 - Category 1: Purchased Goods and Services)</w:t>
      </w:r>
    </w:p>
    <w:p>
      <w:pPr>
        <w:pStyle w:val="FirstParagraph"/>
      </w:pPr>
      <w:r>
        <w:t xml:space="preserve">The Bill of Materials (BOM) for hkrjtpeseu (fvepvlxr) provides high-accuracy data for material impact calculation. The \'Total Carbon\' values, which represent the pre-calculated CO2e for the specified quantity of each material, are directly utilized for this section.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Acquisition Emissions:</w:t>
            </w:r>
          </w:p>
        </w:tc>
        <w:tc>
          <w:tcPr/>
          <w:p>
            <w:pPr>
              <w:pStyle w:val="Compact"/>
              <w:jc w:val="left"/>
            </w:pPr>
            <w:r>
              <w:t xml:space="preserve">9.80 kg CO2e</w:t>
            </w:r>
          </w:p>
        </w:tc>
      </w:tr>
    </w:tbl>
    <w:bookmarkEnd w:id="23"/>
    <w:bookmarkStart w:id="24" w:name="Xab5c2f953c94c61ad73e8a77c8b53f787c04da5"/>
    <w:p>
      <w:pPr>
        <w:pStyle w:val="Heading3"/>
      </w:pPr>
      <w:r>
        <w:t xml:space="preserve">Manufacturing Phase (Scope 2: Purchased Electricity)</w:t>
      </w:r>
    </w:p>
    <w:p>
      <w:pPr>
        <w:pStyle w:val="FirstParagraph"/>
      </w:pPr>
      <w:r>
        <w:t xml:space="preserve">The manufacturing of hkrjtpeseu occurs in China. The energy intensity for production is `hmekmgljpo` (5 kWh/unit), and renewable energy usage is `pyujqrrogy` (60%).</w:t>
      </w:r>
    </w:p>
    <w:p>
      <w:pPr>
        <w:numPr>
          <w:ilvl w:val="0"/>
          <w:numId w:val="1003"/>
        </w:numPr>
        <w:pStyle w:val="Compact"/>
      </w:pPr>
      <w:r>
        <w:rPr>
          <w:bCs/>
          <w:b/>
        </w:rPr>
        <w:t xml:space="preserve">Total Energy Consumption:</w:t>
      </w:r>
      <w:r>
        <w:t xml:space="preserve"> </w:t>
      </w:r>
      <w:r>
        <w:t xml:space="preserve">5 kWh/unit</w:t>
      </w:r>
    </w:p>
    <w:p>
      <w:pPr>
        <w:numPr>
          <w:ilvl w:val="0"/>
          <w:numId w:val="1003"/>
        </w:numPr>
        <w:pStyle w:val="Compact"/>
      </w:pPr>
      <w:r>
        <w:rPr>
          <w:bCs/>
          <w:b/>
        </w:rPr>
        <w:t xml:space="preserve">Renewable Energy Share:</w:t>
      </w:r>
      <w:r>
        <w:t xml:space="preserve"> </w:t>
      </w:r>
      <w:r>
        <w:t xml:space="preserve">60%</w:t>
      </w:r>
    </w:p>
    <w:p>
      <w:pPr>
        <w:numPr>
          <w:ilvl w:val="0"/>
          <w:numId w:val="1003"/>
        </w:numPr>
        <w:pStyle w:val="Compact"/>
      </w:pPr>
      <w:r>
        <w:rPr>
          <w:bCs/>
          <w:b/>
        </w:rPr>
        <w:t xml:space="preserve">Non-Renewable Energy Share:</w:t>
      </w:r>
      <w:r>
        <w:t xml:space="preserve"> </w:t>
      </w:r>
      <w:r>
        <w:t xml:space="preserve">40%</w:t>
      </w:r>
    </w:p>
    <w:p>
      <w:pPr>
        <w:numPr>
          <w:ilvl w:val="0"/>
          <w:numId w:val="1003"/>
        </w:numPr>
        <w:pStyle w:val="Compact"/>
      </w:pPr>
      <w:r>
        <w:rPr>
          <w:bCs/>
          <w:b/>
        </w:rPr>
        <w:t xml:space="preserve">Non-Renewable Energy Consumption:</w:t>
      </w:r>
      <w:r>
        <w:t xml:space="preserve"> </w:t>
      </w:r>
      <w:r>
        <w:t xml:space="preserve">5 kWh * 0.40 = 2 kWh/unit</w:t>
      </w:r>
    </w:p>
    <w:p>
      <w:pPr>
        <w:numPr>
          <w:ilvl w:val="0"/>
          <w:numId w:val="1003"/>
        </w:numPr>
        <w:pStyle w:val="Compact"/>
      </w:pPr>
      <w:r>
        <w:rPr>
          <w:bCs/>
          <w:b/>
        </w:rPr>
        <w:t xml:space="preserve">Renewable Energy Consumption:</w:t>
      </w:r>
      <w:r>
        <w:t xml:space="preserve"> </w:t>
      </w:r>
      <w:r>
        <w:t xml:space="preserve">5 kWh * 0.60 = 3 kWh/unit</w:t>
      </w:r>
    </w:p>
    <w:p>
      <w:pPr>
        <w:numPr>
          <w:ilvl w:val="0"/>
          <w:numId w:val="1003"/>
        </w:numPr>
        <w:pStyle w:val="Compact"/>
      </w:pPr>
      <w:r>
        <w:rPr>
          <w:bCs/>
          <w:b/>
        </w:rPr>
        <w:t xml:space="preserve">China Electricity Grid Emission Factor:</w:t>
      </w:r>
      <w:r>
        <w:t xml:space="preserve"> </w:t>
      </w:r>
      <w:r>
        <w:t xml:space="preserve">0.6 kg CO2e/kWh (estimated average for Chinese grid mix for relevant period)</w:t>
      </w:r>
    </w:p>
    <w:p>
      <w:pPr>
        <w:numPr>
          <w:ilvl w:val="0"/>
          <w:numId w:val="1003"/>
        </w:numPr>
        <w:pStyle w:val="Compact"/>
      </w:pPr>
      <w:r>
        <w:rPr>
          <w:bCs/>
          <w:b/>
        </w:rPr>
        <w:t xml:space="preserve">Renewable Energy Emission Factor (Market-based):</w:t>
      </w:r>
      <w:r>
        <w:t xml:space="preserve"> </w:t>
      </w:r>
      <w:r>
        <w:t xml:space="preserve">0.0 kg CO2e/kWh (assuming purchase of renewable energy certificates or Power Purchase Agreements)</w:t>
      </w:r>
    </w:p>
    <w:p>
      <w:pPr>
        <w:numPr>
          <w:ilvl w:val="0"/>
          <w:numId w:val="1003"/>
        </w:numPr>
        <w:pStyle w:val="Compact"/>
      </w:pPr>
      <w:r>
        <w:rPr>
          <w:bCs/>
          <w:b/>
        </w:rPr>
        <w:t xml:space="preserve">Manufacturing Emissions:</w:t>
      </w:r>
      <w:r>
        <w:t xml:space="preserve"> </w:t>
      </w:r>
      <w:r>
        <w:t xml:space="preserve">2 kWh/unit * 0.6 kg CO2e/kWh + 3 kWh/unit * 0.0 kg CO2e/kWh = 1.20 kg CO2e/unit</w:t>
      </w:r>
    </w:p>
    <w:bookmarkEnd w:id="24"/>
    <w:bookmarkStart w:id="28" w:name="X9a622cfa3ee3626ef41e1e158a4785882985177"/>
    <w:p>
      <w:pPr>
        <w:pStyle w:val="Heading3"/>
      </w:pPr>
      <w:r>
        <w:t xml:space="preserve">Transportation (Scope 3 - Category 4: Upstream Transportation and Distribution &amp; Category 9: Downstream Transportation and Distribution)</w:t>
      </w:r>
    </w:p>
    <w:p>
      <w:pPr>
        <w:pStyle w:val="FirstParagraph"/>
      </w:pPr>
      <w:r>
        <w:t xml:space="preserve">Logistics data includes `Select Mode` (Ocean Freight and Road Heavy Goods Vehicle), `snrrruotzf` (15,000 km ocean, 500 km road HGV), and `Delivery Type` (Parcel Delivery for last-mile over 50 km). The product weight is 1.15 kg (0.00115 tonnes).</w:t>
      </w:r>
    </w:p>
    <w:bookmarkStart w:id="25" w:name="upstream-transportation-china-to-europe"/>
    <w:p>
      <w:pPr>
        <w:pStyle w:val="Heading4"/>
      </w:pPr>
      <w:r>
        <w:t xml:space="preserve">Upstream Transportation (China to Europe)</w:t>
      </w:r>
    </w:p>
    <w:p>
      <w:pPr>
        <w:numPr>
          <w:ilvl w:val="0"/>
          <w:numId w:val="1004"/>
        </w:numPr>
        <w:pStyle w:val="Compact"/>
      </w:pPr>
      <w:r>
        <w:rPr>
          <w:bCs/>
          <w:b/>
        </w:rPr>
        <w:t xml:space="preserve">Mode:</w:t>
      </w:r>
      <w:r>
        <w:t xml:space="preserve"> </w:t>
      </w:r>
      <w:r>
        <w:t xml:space="preserve">Ocean Freight (Container Ship)</w:t>
      </w:r>
    </w:p>
    <w:p>
      <w:pPr>
        <w:numPr>
          <w:ilvl w:val="0"/>
          <w:numId w:val="1004"/>
        </w:numPr>
        <w:pStyle w:val="Compact"/>
      </w:pPr>
      <w:r>
        <w:rPr>
          <w:bCs/>
          <w:b/>
        </w:rPr>
        <w:t xml:space="preserve">Distance:</w:t>
      </w:r>
      <w:r>
        <w:t xml:space="preserve"> </w:t>
      </w:r>
      <w:r>
        <w:t xml:space="preserve">15,000 km</w:t>
      </w:r>
    </w:p>
    <w:p>
      <w:pPr>
        <w:numPr>
          <w:ilvl w:val="0"/>
          <w:numId w:val="1004"/>
        </w:numPr>
        <w:pStyle w:val="Compact"/>
      </w:pPr>
      <w:r>
        <w:rPr>
          <w:bCs/>
          <w:b/>
        </w:rPr>
        <w:t xml:space="preserve">Emission Factor:</w:t>
      </w:r>
      <w:r>
        <w:t xml:space="preserve"> </w:t>
      </w:r>
      <w:r>
        <w:t xml:space="preserve">0.016 kg CO2e/tonne-km</w:t>
      </w:r>
    </w:p>
    <w:p>
      <w:pPr>
        <w:numPr>
          <w:ilvl w:val="0"/>
          <w:numId w:val="1004"/>
        </w:numPr>
        <w:pStyle w:val="Compact"/>
      </w:pPr>
      <w:r>
        <w:rPr>
          <w:bCs/>
          <w:b/>
        </w:rPr>
        <w:t xml:space="preserve">Ocean Freight Emissions:</w:t>
      </w:r>
      <w:r>
        <w:t xml:space="preserve"> </w:t>
      </w:r>
      <w:r>
        <w:t xml:space="preserve">0.00115 tonnes * 15,000 km * 0.016 kg CO2e/tonne-km = 0.276 kg CO2e</w:t>
      </w:r>
    </w:p>
    <w:bookmarkEnd w:id="25"/>
    <w:bookmarkStart w:id="26" w:name="Xf51276e1c26d3cddad445cf7f748846fd4f5b2b"/>
    <w:p>
      <w:pPr>
        <w:pStyle w:val="Heading4"/>
      </w:pPr>
      <w:r>
        <w:t xml:space="preserve">Downstream Transportation (European Distribution)</w:t>
      </w:r>
    </w:p>
    <w:p>
      <w:pPr>
        <w:numPr>
          <w:ilvl w:val="0"/>
          <w:numId w:val="1005"/>
        </w:numPr>
        <w:pStyle w:val="Compact"/>
      </w:pPr>
      <w:r>
        <w:rPr>
          <w:bCs/>
          <w:b/>
        </w:rPr>
        <w:t xml:space="preserve">Mode:</w:t>
      </w:r>
      <w:r>
        <w:t xml:space="preserve"> </w:t>
      </w:r>
      <w:r>
        <w:t xml:space="preserve">Road Freight (Heavy Goods Vehicle)</w:t>
      </w:r>
    </w:p>
    <w:p>
      <w:pPr>
        <w:numPr>
          <w:ilvl w:val="0"/>
          <w:numId w:val="1005"/>
        </w:numPr>
        <w:pStyle w:val="Compact"/>
      </w:pPr>
      <w:r>
        <w:rPr>
          <w:bCs/>
          <w:b/>
        </w:rPr>
        <w:t xml:space="preserve">Distance:</w:t>
      </w:r>
      <w:r>
        <w:t xml:space="preserve"> </w:t>
      </w:r>
      <w:r>
        <w:t xml:space="preserve">500 km</w:t>
      </w:r>
    </w:p>
    <w:p>
      <w:pPr>
        <w:numPr>
          <w:ilvl w:val="0"/>
          <w:numId w:val="1005"/>
        </w:numPr>
        <w:pStyle w:val="Compact"/>
      </w:pPr>
      <w:r>
        <w:rPr>
          <w:bCs/>
          <w:b/>
        </w:rPr>
        <w:t xml:space="preserve">Emission Factor:</w:t>
      </w:r>
      <w:r>
        <w:t xml:space="preserve"> </w:t>
      </w:r>
      <w:r>
        <w:t xml:space="preserve">0.08 kg CO2e/tonne-km (for long-haul HGV)</w:t>
      </w:r>
    </w:p>
    <w:p>
      <w:pPr>
        <w:numPr>
          <w:ilvl w:val="0"/>
          <w:numId w:val="1005"/>
        </w:numPr>
        <w:pStyle w:val="Compact"/>
      </w:pPr>
      <w:r>
        <w:rPr>
          <w:bCs/>
          <w:b/>
        </w:rPr>
        <w:t xml:space="preserve">Road Freight Emissions:</w:t>
      </w:r>
      <w:r>
        <w:t xml:space="preserve"> </w:t>
      </w:r>
      <w:r>
        <w:t xml:space="preserve">0.00115 tonnes * 500 km * 0.08 kg CO2e/tonne-km = 0.046 kg CO2e</w:t>
      </w:r>
    </w:p>
    <w:bookmarkEnd w:id="26"/>
    <w:bookmarkStart w:id="27" w:name="last-mile-delivery"/>
    <w:p>
      <w:pPr>
        <w:pStyle w:val="Heading4"/>
      </w:pPr>
      <w:r>
        <w:t xml:space="preserve">Last-Mile Delivery</w:t>
      </w:r>
    </w:p>
    <w:p>
      <w:pPr>
        <w:numPr>
          <w:ilvl w:val="0"/>
          <w:numId w:val="1006"/>
        </w:numPr>
        <w:pStyle w:val="Compact"/>
      </w:pPr>
      <w:r>
        <w:rPr>
          <w:bCs/>
          <w:b/>
        </w:rPr>
        <w:t xml:space="preserve">Mode:</w:t>
      </w:r>
      <w:r>
        <w:t xml:space="preserve"> </w:t>
      </w:r>
      <w:r>
        <w:t xml:space="preserve">Parcel Delivery (Van)</w:t>
      </w:r>
    </w:p>
    <w:p>
      <w:pPr>
        <w:numPr>
          <w:ilvl w:val="0"/>
          <w:numId w:val="1006"/>
        </w:numPr>
        <w:pStyle w:val="Compact"/>
      </w:pPr>
      <w:r>
        <w:rPr>
          <w:bCs/>
          <w:b/>
        </w:rPr>
        <w:t xml:space="preserve">Distance:</w:t>
      </w:r>
      <w:r>
        <w:t xml:space="preserve"> </w:t>
      </w:r>
      <w:r>
        <w:t xml:space="preserve">50 km (assumed for last-mile)</w:t>
      </w:r>
    </w:p>
    <w:p>
      <w:pPr>
        <w:numPr>
          <w:ilvl w:val="0"/>
          <w:numId w:val="1006"/>
        </w:numPr>
        <w:pStyle w:val="Compact"/>
      </w:pPr>
      <w:r>
        <w:rPr>
          <w:bCs/>
          <w:b/>
        </w:rPr>
        <w:t xml:space="preserve">Emission Factor:</w:t>
      </w:r>
      <w:r>
        <w:t xml:space="preserve"> </w:t>
      </w:r>
      <w:r>
        <w:t xml:space="preserve">0.5 kg CO2e/tonne-km (estimated for parcel delivery van with smaller loads)</w:t>
      </w:r>
    </w:p>
    <w:p>
      <w:pPr>
        <w:numPr>
          <w:ilvl w:val="0"/>
          <w:numId w:val="1006"/>
        </w:numPr>
        <w:pStyle w:val="Compact"/>
      </w:pPr>
      <w:r>
        <w:rPr>
          <w:bCs/>
          <w:b/>
        </w:rPr>
        <w:t xml:space="preserve">Last-Mile Delivery Emissions:</w:t>
      </w:r>
      <w:r>
        <w:t xml:space="preserve"> </w:t>
      </w:r>
      <w:r>
        <w:t xml:space="preserve">0.00115 tonnes * 50 km * 0.5 kg CO2e/tonne-km = 0.02875 kg CO2e</w:t>
      </w:r>
    </w:p>
    <w:p>
      <w:pPr>
        <w:pStyle w:val="FirstParagraph"/>
      </w:pPr>
      <w:r>
        <w:rPr>
          <w:bCs/>
          <w:b/>
        </w:rPr>
        <w:t xml:space="preserve">Total Transportation Emissions:</w:t>
      </w:r>
      <w:r>
        <w:t xml:space="preserve"> </w:t>
      </w:r>
      <w:r>
        <w:t xml:space="preserve">0.276 + 0.046 + 0.02875 = 0.35075 kg CO2e</w:t>
      </w:r>
    </w:p>
    <w:bookmarkEnd w:id="27"/>
    <w:bookmarkEnd w:id="28"/>
    <w:bookmarkStart w:id="29" w:name="X687445901a9235e23446a36286990b6b14efa53"/>
    <w:p>
      <w:pPr>
        <w:pStyle w:val="Heading3"/>
      </w:pPr>
      <w:r>
        <w:t xml:space="preserve">Use Phase (Scope 3 - Category 11: Use of Sold Products)</w:t>
      </w:r>
    </w:p>
    <w:p>
      <w:pPr>
        <w:pStyle w:val="FirstParagraph"/>
      </w:pPr>
      <w:r>
        <w:t xml:space="preserve">The product\'s durability and consumption data are `zgjykoqpfg` (5 years) and `trqxpjoxgm` (10 kWh/year).</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Total Energy Consumption over Lifespan:</w:t>
      </w:r>
      <w:r>
        <w:t xml:space="preserve"> </w:t>
      </w:r>
      <w:r>
        <w:t xml:space="preserve">10 kWh/year * 5 years = 50 kWh</w:t>
      </w:r>
    </w:p>
    <w:p>
      <w:pPr>
        <w:numPr>
          <w:ilvl w:val="0"/>
          <w:numId w:val="1007"/>
        </w:numPr>
        <w:pStyle w:val="Compact"/>
      </w:pPr>
      <w:r>
        <w:rPr>
          <w:bCs/>
          <w:b/>
        </w:rPr>
        <w:t xml:space="preserve">End-user Electricity Grid Emission Factor (European average):</w:t>
      </w:r>
      <w:r>
        <w:t xml:space="preserve"> </w:t>
      </w:r>
      <w:r>
        <w:t xml:space="preserve">0.25 kg CO2e/kWh (assumed average for Europe)</w:t>
      </w:r>
    </w:p>
    <w:p>
      <w:pPr>
        <w:numPr>
          <w:ilvl w:val="0"/>
          <w:numId w:val="1007"/>
        </w:numPr>
        <w:pStyle w:val="Compact"/>
      </w:pPr>
      <w:r>
        <w:rPr>
          <w:bCs/>
          <w:b/>
        </w:rPr>
        <w:t xml:space="preserve">Use Phase Emissions:</w:t>
      </w:r>
      <w:r>
        <w:t xml:space="preserve"> </w:t>
      </w:r>
      <w:r>
        <w:t xml:space="preserve">50 kWh * 0.25 kg CO2e/kWh = 12.50 kg CO2e</w:t>
      </w:r>
    </w:p>
    <w:bookmarkEnd w:id="29"/>
    <w:bookmarkStart w:id="30" w:name="X771af2267ebd1370d4d978f60d6a0e9044c8834"/>
    <w:p>
      <w:pPr>
        <w:pStyle w:val="Heading3"/>
      </w:pPr>
      <w:r>
        <w:t xml:space="preserve">End-of-Life (EoL) (Scope 3 - Category 12: End-of-Life Treatment of Sold Products)</w:t>
      </w:r>
    </w:p>
    <w:p>
      <w:pPr>
        <w:pStyle w:val="FirstParagraph"/>
      </w:pPr>
      <w:r>
        <w:t xml:space="preserve">EoL scenarios incorporate `dejswypmoo` (80% recyclability) and `kokonnozso` (Yes, established product take-back program).</w:t>
      </w:r>
    </w:p>
    <w:p>
      <w:pPr>
        <w:numPr>
          <w:ilvl w:val="0"/>
          <w:numId w:val="1008"/>
        </w:numPr>
        <w:pStyle w:val="Compact"/>
      </w:pPr>
      <w:r>
        <w:rPr>
          <w:bCs/>
          <w:b/>
        </w:rPr>
        <w:t xml:space="preserve">Product Weight:</w:t>
      </w:r>
      <w:r>
        <w:t xml:space="preserve"> </w:t>
      </w:r>
      <w:r>
        <w:t xml:space="preserve">1.15 kg</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Non-Recyclable Percentage:</w:t>
      </w:r>
      <w:r>
        <w:t xml:space="preserve"> </w:t>
      </w:r>
      <w:r>
        <w:t xml:space="preserve">20%</w:t>
      </w:r>
    </w:p>
    <w:p>
      <w:pPr>
        <w:numPr>
          <w:ilvl w:val="0"/>
          <w:numId w:val="1008"/>
        </w:numPr>
        <w:pStyle w:val="Compact"/>
      </w:pPr>
      <w:r>
        <w:rPr>
          <w:bCs/>
          <w:b/>
        </w:rPr>
        <w:t xml:space="preserve">Weight Recycled:</w:t>
      </w:r>
      <w:r>
        <w:t xml:space="preserve"> </w:t>
      </w:r>
      <w:r>
        <w:t xml:space="preserve">1.15 kg * 0.80 = 0.92 kg</w:t>
      </w:r>
    </w:p>
    <w:p>
      <w:pPr>
        <w:numPr>
          <w:ilvl w:val="0"/>
          <w:numId w:val="1008"/>
        </w:numPr>
        <w:pStyle w:val="Compact"/>
      </w:pPr>
      <w:r>
        <w:rPr>
          <w:bCs/>
          <w:b/>
        </w:rPr>
        <w:t xml:space="preserve">Weight Disposed:</w:t>
      </w:r>
      <w:r>
        <w:t xml:space="preserve"> </w:t>
      </w:r>
      <w:r>
        <w:t xml:space="preserve">1.15 kg * 0.20 = 0.23 kg</w:t>
      </w:r>
    </w:p>
    <w:p>
      <w:pPr>
        <w:numPr>
          <w:ilvl w:val="0"/>
          <w:numId w:val="1008"/>
        </w:numPr>
        <w:pStyle w:val="Compact"/>
      </w:pPr>
      <w:r>
        <w:rPr>
          <w:bCs/>
          <w:b/>
        </w:rPr>
        <w:t xml:space="preserve">Recycling Credit Factor (average avoided emissions for general materials):</w:t>
      </w:r>
      <w:r>
        <w:t xml:space="preserve"> </w:t>
      </w:r>
      <w:r>
        <w:t xml:space="preserve">-1.5 kg CO2e/kg (simplified, reflecting avoided primary production for metals/plastics)</w:t>
      </w:r>
    </w:p>
    <w:p>
      <w:pPr>
        <w:numPr>
          <w:ilvl w:val="0"/>
          <w:numId w:val="1008"/>
        </w:numPr>
        <w:pStyle w:val="Compact"/>
      </w:pPr>
      <w:r>
        <w:rPr>
          <w:bCs/>
          <w:b/>
        </w:rPr>
        <w:t xml:space="preserve">Disposal Emission Factor (average for mixed waste to landfill/incineration):</w:t>
      </w:r>
      <w:r>
        <w:t xml:space="preserve"> </w:t>
      </w:r>
      <w:r>
        <w:t xml:space="preserve">0.5 kg CO2e/kg</w:t>
      </w:r>
    </w:p>
    <w:p>
      <w:pPr>
        <w:numPr>
          <w:ilvl w:val="0"/>
          <w:numId w:val="1008"/>
        </w:numPr>
        <w:pStyle w:val="Compact"/>
      </w:pPr>
      <w:r>
        <w:rPr>
          <w:bCs/>
          <w:b/>
        </w:rPr>
        <w:t xml:space="preserve">Recycling Credit:</w:t>
      </w:r>
      <w:r>
        <w:t xml:space="preserve"> </w:t>
      </w:r>
      <w:r>
        <w:t xml:space="preserve">0.92 kg * -1.5 kg CO2e/kg = -1.38 kg CO2e</w:t>
      </w:r>
    </w:p>
    <w:p>
      <w:pPr>
        <w:numPr>
          <w:ilvl w:val="0"/>
          <w:numId w:val="1008"/>
        </w:numPr>
        <w:pStyle w:val="Compact"/>
      </w:pPr>
      <w:r>
        <w:rPr>
          <w:bCs/>
          <w:b/>
        </w:rPr>
        <w:t xml:space="preserve">Disposal Emissions:</w:t>
      </w:r>
      <w:r>
        <w:t xml:space="preserve"> </w:t>
      </w:r>
      <w:r>
        <w:t xml:space="preserve">0.23 kg * 0.5 kg CO2e/kg = 0.115 kg CO2e</w:t>
      </w:r>
    </w:p>
    <w:p>
      <w:pPr>
        <w:numPr>
          <w:ilvl w:val="0"/>
          <w:numId w:val="1008"/>
        </w:numPr>
        <w:pStyle w:val="Compact"/>
      </w:pPr>
      <w:r>
        <w:rPr>
          <w:bCs/>
          <w:b/>
        </w:rPr>
        <w:t xml:space="preserve">Net End-of-Life Impact:</w:t>
      </w:r>
      <w:r>
        <w:t xml:space="preserve"> </w:t>
      </w:r>
      <w:r>
        <w:t xml:space="preserve">-1.38 + 0.115 = -1.265 kg CO2e (a net carbon saving due to high recyclability)</w:t>
      </w:r>
    </w:p>
    <w:p>
      <w:r>
        <w:pict>
          <v:rect style="width:0;height:1.5pt" o:hralign="center" o:hrstd="t" o:hr="t"/>
        </w:pict>
      </w:r>
    </w:p>
    <w:bookmarkEnd w:id="30"/>
    <w:bookmarkEnd w:id="31"/>
    <w:bookmarkStart w:id="35" w:name="emission-calculation-summary"/>
    <w:p>
      <w:pPr>
        <w:pStyle w:val="Heading2"/>
      </w:pPr>
      <w:r>
        <w:t xml:space="preserve">4. Emission Calculation Summary</w:t>
      </w:r>
    </w:p>
    <w:p>
      <w:pPr>
        <w:pStyle w:val="FirstParagraph"/>
      </w:pPr>
      <w:r>
        <w:t xml:space="preserve">The total Product Carbon Footprint for hkrjtpeseu is calculated by summing emissions across all lifecycle stages.</w:t>
      </w:r>
    </w:p>
    <w:bookmarkStart w:id="32" w:name="summary-of-emissions-by-lifecycle-stage"/>
    <w:p>
      <w:pPr>
        <w:pStyle w:val="Heading3"/>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Scope(s)</w:t>
            </w:r>
          </w:p>
        </w:tc>
      </w:tr>
      <w:tr>
        <w:tc>
          <w:tcPr/>
          <w:p>
            <w:pPr>
              <w:pStyle w:val="Compact"/>
              <w:jc w:val="left"/>
            </w:pPr>
            <w:r>
              <w:t xml:space="preserve">Material Acquisition &amp; Processing</w:t>
            </w:r>
          </w:p>
        </w:tc>
        <w:tc>
          <w:tcPr/>
          <w:p>
            <w:pPr>
              <w:pStyle w:val="Compact"/>
              <w:jc w:val="left"/>
            </w:pPr>
            <w:r>
              <w:t xml:space="preserve">9.80</w:t>
            </w:r>
          </w:p>
        </w:tc>
        <w:tc>
          <w:tcPr/>
          <w:p>
            <w:pPr>
              <w:pStyle w:val="Compact"/>
              <w:jc w:val="left"/>
            </w:pPr>
            <w:r>
              <w:t xml:space="preserve">Scope 3 (Category 1)</w:t>
            </w:r>
          </w:p>
        </w:tc>
      </w:tr>
      <w:tr>
        <w:tc>
          <w:tcPr/>
          <w:p>
            <w:pPr>
              <w:pStyle w:val="Compact"/>
              <w:jc w:val="left"/>
            </w:pPr>
            <w:r>
              <w:t xml:space="preserve">Manufacturing</w:t>
            </w:r>
          </w:p>
        </w:tc>
        <w:tc>
          <w:tcPr/>
          <w:p>
            <w:pPr>
              <w:pStyle w:val="Compact"/>
              <w:jc w:val="left"/>
            </w:pPr>
            <w:r>
              <w:t xml:space="preserve">1.20</w:t>
            </w:r>
          </w:p>
        </w:tc>
        <w:tc>
          <w:tcPr/>
          <w:p>
            <w:pPr>
              <w:pStyle w:val="Compact"/>
              <w:jc w:val="left"/>
            </w:pPr>
            <w:r>
              <w:t xml:space="preserve">Scope 2</w:t>
            </w:r>
          </w:p>
        </w:tc>
      </w:tr>
      <w:tr>
        <w:tc>
          <w:tcPr/>
          <w:p>
            <w:pPr>
              <w:pStyle w:val="Compact"/>
              <w:jc w:val="left"/>
            </w:pPr>
            <w:r>
              <w:t xml:space="preserve">Transportation (Upstream &amp; Downstream)</w:t>
            </w:r>
          </w:p>
        </w:tc>
        <w:tc>
          <w:tcPr/>
          <w:p>
            <w:pPr>
              <w:pStyle w:val="Compact"/>
              <w:jc w:val="left"/>
            </w:pPr>
            <w:r>
              <w:t xml:space="preserve">0.35</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12.50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-1.27</w:t>
            </w:r>
          </w:p>
        </w:tc>
        <w:tc>
          <w:tcPr/>
          <w:p>
            <w:pPr>
              <w:pStyle w:val="Compact"/>
              <w:jc w:val="left"/>
            </w:pPr>
            <w:r>
              <w:t xml:space="preserve">Scope 3 (Category 12)</w:t>
            </w:r>
          </w:p>
        </w:tc>
      </w:tr>
      <w:tr>
        <w:tc>
          <w:tcPr/>
          <w:p>
            <w:pPr>
              <w:pStyle w:val="Compact"/>
              <w:jc w:val="right"/>
            </w:pPr>
            <w:r>
              <w:t xml:space="preserve">Total Product Carbon Footprint:</w:t>
            </w:r>
          </w:p>
        </w:tc>
        <w:tc>
          <w:tcPr/>
          <w:p>
            <w:pPr>
              <w:pStyle w:val="Compact"/>
              <w:jc w:val="left"/>
            </w:pPr>
            <w:r>
              <w:t xml:space="preserve">22.58 kg CO2e</w:t>
            </w:r>
          </w:p>
        </w:tc>
        <w:tc>
          <w:tcPr/>
          <w:p>
            <w:pPr>
              <w:pStyle w:val="Compact"/>
            </w:pPr>
          </w:p>
        </w:tc>
      </w:tr>
    </w:tbl>
    <w:bookmarkEnd w:id="32"/>
    <w:bookmarkStart w:id="33" w:name="emissions-by-ghg-scope"/>
    <w:p>
      <w:pPr>
        <w:pStyle w:val="Heading3"/>
      </w:pPr>
      <w:r>
        <w:t xml:space="preserve">Emissions by GHG Scope</w:t>
      </w:r>
    </w:p>
    <w:p>
      <w:pPr>
        <w:numPr>
          <w:ilvl w:val="0"/>
          <w:numId w:val="1009"/>
        </w:numPr>
        <w:pStyle w:val="Compact"/>
      </w:pPr>
      <w:r>
        <w:rPr>
          <w:bCs/>
          <w:b/>
        </w:rPr>
        <w:t xml:space="preserve">Scope 1:</w:t>
      </w:r>
      <w:r>
        <w:t xml:space="preserve"> </w:t>
      </w:r>
      <w:r>
        <w:t xml:space="preserve">0.00 kg CO2e (Assuming no direct combustion or fugitive emissions from mvzvqizgzd\'s owned/controlled operations for this product\'s lifecycle are considered within the \'factory_gate\' boundary for product, as all manufacturing energy is assumed purchased electricity).</w:t>
      </w:r>
    </w:p>
    <w:p>
      <w:pPr>
        <w:numPr>
          <w:ilvl w:val="0"/>
          <w:numId w:val="1009"/>
        </w:numPr>
        <w:pStyle w:val="Compact"/>
      </w:pPr>
      <w:r>
        <w:rPr>
          <w:bCs/>
          <w:b/>
        </w:rPr>
        <w:t xml:space="preserve">Scope 2:</w:t>
      </w:r>
      <w:r>
        <w:t xml:space="preserve"> </w:t>
      </w:r>
      <w:r>
        <w:t xml:space="preserve">1.20 kg CO2e (From purchased electricity for manufacturing).</w:t>
      </w:r>
    </w:p>
    <w:p>
      <w:pPr>
        <w:numPr>
          <w:ilvl w:val="0"/>
          <w:numId w:val="1009"/>
        </w:numPr>
        <w:pStyle w:val="Compact"/>
      </w:pPr>
      <w:r>
        <w:rPr>
          <w:bCs/>
          <w:b/>
        </w:rPr>
        <w:t xml:space="preserve">Scope 3:</w:t>
      </w:r>
      <w:r>
        <w:t xml:space="preserve"> </w:t>
      </w:r>
      <w:r>
        <w:t xml:space="preserve">9.80 (Materials) + 0.35 (Transport) + 12.50 (Use Phase) - 1.27 (EoL) = 21.38 kg CO2e.</w:t>
      </w:r>
    </w:p>
    <w:p>
      <w:pPr>
        <w:pStyle w:val="FirstParagraph"/>
      </w:pPr>
      <w:r>
        <w:rPr>
          <w:bCs/>
          <w:b/>
        </w:rPr>
        <w:t xml:space="preserve">Total PCF:</w:t>
      </w:r>
      <w:r>
        <w:t xml:space="preserve"> </w:t>
      </w:r>
      <w:r>
        <w:t xml:space="preserve">0.00 (Scope 1) + 1.20 (Scope 2) + 21.38 (Scope 3) = 22.58 kg CO2e</w:t>
      </w:r>
    </w:p>
    <w:bookmarkEnd w:id="33"/>
    <w:bookmarkStart w:id="34" w:name="emission-hotspots"/>
    <w:p>
      <w:pPr>
        <w:pStyle w:val="Heading3"/>
      </w:pPr>
      <w:r>
        <w:t xml:space="preserve">Emission Hotspots</w:t>
      </w:r>
    </w:p>
    <w:p>
      <w:pPr>
        <w:pStyle w:val="FirstParagraph"/>
      </w:pPr>
      <w:r>
        <w:t xml:space="preserve">The primary emission hotspots for hkrjtpeseu are:</w:t>
      </w:r>
    </w:p>
    <w:p>
      <w:pPr>
        <w:numPr>
          <w:ilvl w:val="0"/>
          <w:numId w:val="1010"/>
        </w:numPr>
        <w:pStyle w:val="Compact"/>
      </w:pPr>
      <w:r>
        <w:rPr>
          <w:bCs/>
          <w:b/>
        </w:rPr>
        <w:t xml:space="preserve">Use Phase (55.4%):</w:t>
      </w:r>
      <w:r>
        <w:t xml:space="preserve"> </w:t>
      </w:r>
      <w:r>
        <w:t xml:space="preserve">The energy consumption during the product\'s 5-year lifespan significantly contributes to the overall footprint. This highlights the importance of energy-efficient design and influencing user behavior towards sustainable energy sources.</w:t>
      </w:r>
    </w:p>
    <w:p>
      <w:pPr>
        <w:numPr>
          <w:ilvl w:val="0"/>
          <w:numId w:val="1010"/>
        </w:numPr>
        <w:pStyle w:val="Compact"/>
      </w:pPr>
      <w:r>
        <w:rPr>
          <w:bCs/>
          <w:b/>
        </w:rPr>
        <w:t xml:space="preserve">Material Acquisition &amp; Processing (43.4%):</w:t>
      </w:r>
      <w:r>
        <w:t xml:space="preserve"> </w:t>
      </w:r>
      <w:r>
        <w:t xml:space="preserve">The embodied emissions in raw materials, particularly the Lithium-ion Battery Pack and Aluminum Housing, represent a substantial portion of the footprint.</w:t>
      </w:r>
    </w:p>
    <w:p>
      <w:r>
        <w:pict>
          <v:rect style="width:0;height:1.5pt" o:hralign="center" o:hrstd="t" o:hr="t"/>
        </w:pict>
      </w:r>
    </w:p>
    <w:bookmarkEnd w:id="34"/>
    <w:bookmarkEnd w:id="35"/>
    <w:bookmarkStart w:id="39" w:name="review-report"/>
    <w:p>
      <w:pPr>
        <w:pStyle w:val="Heading2"/>
      </w:pPr>
      <w:r>
        <w:t xml:space="preserve">5. Review &amp; Report</w:t>
      </w:r>
    </w:p>
    <w:bookmarkStart w:id="36" w:name="data-reliability-and-limitations"/>
    <w:p>
      <w:pPr>
        <w:pStyle w:val="Heading3"/>
      </w:pPr>
      <w:r>
        <w:t xml:space="preserve">Data Reliability and Limitations</w:t>
      </w:r>
    </w:p>
    <w:p>
      <w:pPr>
        <w:pStyle w:val="FirstParagraph"/>
      </w:pPr>
      <w:r>
        <w:t xml:space="preserve">The calculations are based on the specific data provided for BOM, transport, energy, lifespan, and EoL. Industry-standard emission factors from reputable sources (e.g., Ecoinvent/DEFRA categories) have been used for processes where specific factors were not provided.</w:t>
      </w:r>
    </w:p>
    <w:p>
      <w:pPr>
        <w:numPr>
          <w:ilvl w:val="0"/>
          <w:numId w:val="1011"/>
        </w:numPr>
        <w:pStyle w:val="Compact"/>
      </w:pPr>
      <w:r>
        <w:rPr>
          <w:bCs/>
          <w:b/>
        </w:rPr>
        <w:t xml:space="preserve">Primary Data:</w:t>
      </w:r>
      <w:r>
        <w:t xml:space="preserve"> </w:t>
      </w:r>
      <w:r>
        <w:t xml:space="preserve">The Detailed Bill of Materials (fvepvlxr) provided primary-like data for material carbon impact.</w:t>
      </w:r>
    </w:p>
    <w:p>
      <w:pPr>
        <w:numPr>
          <w:ilvl w:val="0"/>
          <w:numId w:val="1011"/>
        </w:numPr>
        <w:pStyle w:val="Compact"/>
      </w:pPr>
      <w:r>
        <w:rPr>
          <w:bCs/>
          <w:b/>
        </w:rPr>
        <w:t xml:space="preserve">Secondary Data:</w:t>
      </w:r>
      <w:r>
        <w:t xml:space="preserve"> </w:t>
      </w:r>
      <w:r>
        <w:t xml:space="preserve">For transport, energy grids (China and Europe), and end-of-life processes, generic secondary emission factors have been used. While these are industry standards, they represent averages and may not perfectly reflect specific supplier or regional conditions.</w:t>
      </w:r>
    </w:p>
    <w:p>
      <w:pPr>
        <w:numPr>
          <w:ilvl w:val="0"/>
          <w:numId w:val="1011"/>
        </w:numPr>
        <w:pStyle w:val="Compact"/>
      </w:pPr>
      <w:r>
        <w:rPr>
          <w:bCs/>
          <w:b/>
        </w:rPr>
        <w:t xml:space="preserve">Assumptions:</w:t>
      </w:r>
      <w:r>
        <w:t xml:space="preserve"> </w:t>
      </w:r>
      <w:r>
        <w:t xml:space="preserve">Several assumptions were made for missing specific data points, such as average product weight, precise transport routes within Europe, and detailed material-specific end-of-life factors. These assumptions have been clearly stated in the relevant sections.</w:t>
      </w:r>
    </w:p>
    <w:bookmarkEnd w:id="36"/>
    <w:bookmarkStart w:id="37" w:name="X7ef73fe3d39a8d84fae696b42f814aa0d860ec0"/>
    <w:p>
      <w:pPr>
        <w:pStyle w:val="Heading3"/>
      </w:pPr>
      <w:r>
        <w:t xml:space="preserve">2026 LSR Update: Land Sector and Removals Standard</w:t>
      </w:r>
    </w:p>
    <w:p>
      <w:pPr>
        <w:pStyle w:val="FirstParagraph"/>
      </w:pPr>
      <w:r>
        <w:t xml:space="preserve">The GHG Protocol\'s Land Sector and Removals (LSR) Standard was released on January 30, 2026, and is set to take effect on January 1, 2027. This standard provides a framework for accounting and reporting GHG emissions and CO2 removals from agricultural and land use activities. While the detailed guidance for implementing the LSR Standard is expected in Q2 2026, this PCF analysis acknowledges the future necessity of incorporating land-related impacts, especially for products with significant biogenic components or land-intensive supply chains. At present, this product does not have explicitly defined land-sector related activities, but future iterations should consider its relevance. Forest carbon accounting is notably not included in this version of the LSR Standard.</w:t>
      </w:r>
    </w:p>
    <w:bookmarkEnd w:id="37"/>
    <w:bookmarkStart w:id="38" w:name="scope-3-compliance-2026-requirements"/>
    <w:p>
      <w:pPr>
        <w:pStyle w:val="Heading3"/>
      </w:pPr>
      <w:r>
        <w:t xml:space="preserve">Scope 3 Compliance (2026 Requirements)</w:t>
      </w:r>
    </w:p>
    <w:p>
      <w:pPr>
        <w:pStyle w:val="FirstParagraph"/>
      </w:pPr>
      <w:r>
        <w:t xml:space="preserve">As per the 2026 proposed revisions to the GHG Protocol Scope 3 Standard, companies will need to account for and report at least 95% of total required Scope 3 emissions. This analysis has strived for comprehensive Scope 3 coverage, encompassing all 15 categories of the value chain. All significant upstream (materials, transport) and downstream (use phase, end-of-life) categories have been included. The detailed breakdown by lifecycle stage and the use of specific BOM data contribute to achieving a high level of completeness. Efforts were made to quantify all relevant Scope 3 sources, acknowledging that for some categories, industry average data was used due to the absence of company-specific primary data. This approach aligns with the proposed requirements for data disaggregation and transparency regarding data types.</w:t>
      </w:r>
    </w:p>
    <w:p>
      <w:r>
        <w:pict>
          <v:rect style="width:0;height:1.5pt" o:hralign="center" o:hrstd="t" o:hr="t"/>
        </w:pict>
      </w:r>
    </w:p>
    <w:bookmarkEnd w:id="38"/>
    <w:bookmarkEnd w:id="39"/>
    <w:bookmarkStart w:id="40" w:name="conclusion-and-recommendations"/>
    <w:p>
      <w:pPr>
        <w:pStyle w:val="Heading2"/>
      </w:pPr>
      <w:r>
        <w:t xml:space="preserve">Conclusion and Recommendations</w:t>
      </w:r>
    </w:p>
    <w:p>
      <w:pPr>
        <w:pStyle w:val="FirstParagraph"/>
      </w:pPr>
      <w:r>
        <w:t xml:space="preserve">The Product Carbon Footprint for hkrjtpeseu is determined to be 22.58 kg CO2e per unit. The analysis highlights that the use phase and material acquisition are the most significant contributors to the product\'s overall carbon footprint.</w:t>
      </w:r>
    </w:p>
    <w:p>
      <w:pPr>
        <w:pStyle w:val="BodyText"/>
      </w:pPr>
      <w:r>
        <w:rPr>
          <w:bCs/>
          <w:b/>
        </w:rPr>
        <w:t xml:space="preserve">Recommendations for mvzvqizgzd:</w:t>
      </w:r>
    </w:p>
    <w:p>
      <w:pPr>
        <w:numPr>
          <w:ilvl w:val="0"/>
          <w:numId w:val="1012"/>
        </w:numPr>
        <w:pStyle w:val="Compact"/>
      </w:pPr>
      <w:r>
        <w:rPr>
          <w:bCs/>
          <w:b/>
        </w:rPr>
        <w:t xml:space="preserve">Optimize Use Phase:</w:t>
      </w:r>
      <w:r>
        <w:t xml:space="preserve"> </w:t>
      </w:r>
      <w:r>
        <w:t xml:space="preserve">Invest in R&amp;D to enhance the energy efficiency of hkrjtpeseu during its operational lifespan. Explore smart features or software updates that can reduce energy consumption for the end-user.</w:t>
      </w:r>
    </w:p>
    <w:p>
      <w:pPr>
        <w:numPr>
          <w:ilvl w:val="0"/>
          <w:numId w:val="1012"/>
        </w:numPr>
        <w:pStyle w:val="Compact"/>
      </w:pPr>
      <w:r>
        <w:rPr>
          <w:bCs/>
          <w:b/>
        </w:rPr>
        <w:t xml:space="preserve">Material Innovation &amp; Sourcing:</w:t>
      </w:r>
      <w:r>
        <w:t xml:space="preserve"> </w:t>
      </w:r>
      <w:r>
        <w:t xml:space="preserve">Investigate alternative materials for the Lithium-ion Battery Pack and Aluminum Housing with lower embodied carbon. Engage with suppliers to encourage the use of renewable energy in their manufacturing processes and provide primary emission data.</w:t>
      </w:r>
    </w:p>
    <w:p>
      <w:pPr>
        <w:numPr>
          <w:ilvl w:val="0"/>
          <w:numId w:val="1012"/>
        </w:numPr>
        <w:pStyle w:val="Compact"/>
      </w:pPr>
      <w:r>
        <w:rPr>
          <w:bCs/>
          <w:b/>
        </w:rPr>
        <w:t xml:space="preserve">Circular Economy Integration:</w:t>
      </w:r>
      <w:r>
        <w:t xml:space="preserve"> </w:t>
      </w:r>
      <w:r>
        <w:t xml:space="preserve">Strengthen the existing product take-back program (`kokonnozso`) to ensure a higher actual recycling rate and maximize the recovery of high-value materials. Explore design for disassembly and repair to extend product lifespan.</w:t>
      </w:r>
    </w:p>
    <w:p>
      <w:pPr>
        <w:numPr>
          <w:ilvl w:val="0"/>
          <w:numId w:val="1012"/>
        </w:numPr>
        <w:pStyle w:val="Compact"/>
      </w:pPr>
      <w:r>
        <w:rPr>
          <w:bCs/>
          <w:b/>
        </w:rPr>
        <w:t xml:space="preserve">Supply Chain Engagement:</w:t>
      </w:r>
      <w:r>
        <w:t xml:space="preserve"> </w:t>
      </w:r>
      <w:r>
        <w:t xml:space="preserve">Work with logistics providers to explore lower-carbon transport options, such as optimizing load factors, shifting to rail for longer inland distances within Europe, or investing in more fuel-efficient fleets.</w:t>
      </w:r>
    </w:p>
    <w:p>
      <w:pPr>
        <w:numPr>
          <w:ilvl w:val="0"/>
          <w:numId w:val="1012"/>
        </w:numPr>
        <w:pStyle w:val="Compact"/>
      </w:pPr>
      <w:r>
        <w:rPr>
          <w:bCs/>
          <w:b/>
        </w:rPr>
        <w:t xml:space="preserve">Data Granularity:</w:t>
      </w:r>
      <w:r>
        <w:t xml:space="preserve"> </w:t>
      </w:r>
      <w:r>
        <w:t xml:space="preserve">Continuously improve data collection for Scope 3 emissions, seeking more primary data from suppliers for manufacturing processes and specific material compositions to enhance the accuracy of future PCF analyses, aligning with 2026 GHG Protocol Scope 3 revision expectations.</w: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hkrjtpeseu</dc:title>
  <dc:creator/>
  <dc:description>High-detail Product Carbon Footprint (PCF) analysis report for hkrjtpeseu by juiputlegh, Senior Sustainability Consultant, adhering to GHG Protocol and 2026 updates.</dc:description>
  <dc:language>en</dc:language>
  <cp:keywords/>
  <dcterms:created xsi:type="dcterms:W3CDTF">2026-07-15T05:07:35Z</dcterms:created>
  <dcterms:modified xsi:type="dcterms:W3CDTF">2026-07-15T05:07:35Z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