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hjwqlwiuuw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hjwqlwiuuw</w:t>
      </w:r>
    </w:p>
    <w:p>
      <w:pPr>
        <w:pStyle w:val="BodyText"/>
      </w:pPr>
      <w:r>
        <w:rPr>
          <w:bCs/>
          <w:b/>
        </w:rPr>
        <w:t xml:space="preserve">Company Name:</w:t>
      </w:r>
      <w:r>
        <w:t xml:space="preserve"> </w:t>
      </w:r>
      <w:r>
        <w:t xml:space="preserve">smflsphghw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onfunevdtk</w:t>
      </w:r>
    </w:p>
    <w:p>
      <w:pPr>
        <w:pStyle w:val="BodyText"/>
      </w:pPr>
      <w:r>
        <w:t xml:space="preserve">This report is generated based on available data and industry standards. While efforts have been made to ensure accuracy, actual emissions may vary due to specific operational details and evolving data. This document is intended for informational purposes and internal use.</w:t>
      </w:r>
    </w:p>
    <w:bookmarkEnd w:id="20"/>
    <w:p>
      <w:pPr>
        <w:pStyle w:val="BodyText"/>
      </w:pPr>
      <w:r>
        <w:t xml:space="preserve">Generated Date: May 25, 2026</w:t>
      </w:r>
    </w:p>
    <w:bookmarkStart w:id="50"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hjwqlwiuuw</w:t>
      </w:r>
      <w:r>
        <w:t xml:space="preserve">, manufactured by</w:t>
      </w:r>
      <w:r>
        <w:t xml:space="preserve"> </w:t>
      </w:r>
      <w:r>
        <w:rPr>
          <w:bCs/>
          <w:b/>
        </w:rPr>
        <w:t xml:space="preserve">smflsphghw</w:t>
      </w:r>
      <w:r>
        <w:t xml:space="preserve">. The analysis, conducted by Senior Sustainability Consultant</w:t>
      </w:r>
      <w:r>
        <w:t xml:space="preserve"> </w:t>
      </w:r>
      <w:r>
        <w:rPr>
          <w:bCs/>
          <w:b/>
        </w:rPr>
        <w:t xml:space="preserve">onfunevdtk</w:t>
      </w:r>
      <w:r>
        <w:t xml:space="preserve">, adheres strictly to the Greenhouse Gas (GHG) Protocol, including the 2026 Land Sector and Removals (LSR) Standard updates, with a focus on comprehensive Scope 3 coverage. The primary goal is to quantify the greenhouse gas emissions across the product\'s lifecycle, identify emission hotspots, and provide a reliable baseline for sustainability initiatives.</w:t>
      </w:r>
    </w:p>
    <w:p>
      <w:pPr>
        <w:pStyle w:val="BodyText"/>
      </w:pPr>
      <w:r>
        <w:t xml:space="preserve">The assessment employs a cradle-to-grave approach, encompassing raw material extraction, manufacturing, transportation, the use phase, and end-of-life treatment. Emissions are categorized into Scope 1 (direct), Scope 2 (purchased energy), and Scope 3 (value chain) to provide a holistic view of the product\'s environmental impact. This analysis leverages specific Bill of Materials (BOM) data, energy consumption profiles, and logistical information provided by smflsphghw.</w:t>
      </w:r>
    </w:p>
    <w:p>
      <w:r>
        <w:pict>
          <v:rect style="width:0;height:1.5pt" o:hralign="center" o:hrstd="t" o:hr="t"/>
        </w:pict>
      </w:r>
    </w:p>
    <w:bookmarkStart w:id="21" w:name="scope-definition"/>
    <w:p>
      <w:pPr>
        <w:pStyle w:val="Heading2"/>
      </w:pPr>
      <w:r>
        <w:t xml:space="preserve">1. Scope Definition</w:t>
      </w:r>
    </w:p>
    <w:p>
      <w:pPr>
        <w:pStyle w:val="FirstParagraph"/>
      </w:pPr>
      <w:r>
        <w:t xml:space="preserve">The initial step of this Product Carbon Footprint (PCF) analysis defines the boundaries and parameters for accurate and consistent accounting.</w:t>
      </w:r>
    </w:p>
    <w:p>
      <w:pPr>
        <w:numPr>
          <w:ilvl w:val="0"/>
          <w:numId w:val="1001"/>
        </w:numPr>
        <w:pStyle w:val="Compact"/>
      </w:pPr>
      <w:r>
        <w:rPr>
          <w:bCs/>
          <w:b/>
        </w:rPr>
        <w:t xml:space="preserve">Functional Unit:</w:t>
      </w:r>
      <w:r>
        <w:t xml:space="preserve"> </w:t>
      </w:r>
      <w:r>
        <w:t xml:space="preserve">The functional unit for this PCF study is defined as</w:t>
      </w:r>
      <w:r>
        <w:t xml:space="preserve"> </w:t>
      </w:r>
      <w:r>
        <w:rPr>
          <w:bCs/>
          <w:b/>
        </w:rPr>
        <w:t xml:space="preserve">1.0 unit of hjwqlwiuuw</w:t>
      </w:r>
      <w:r>
        <w:t xml:space="preserve">.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While the primary operational control is framed by a</w:t>
      </w:r>
      <w:r>
        <w:t xml:space="preserve"> </w:t>
      </w:r>
      <w:r>
        <w:rPr>
          <w:bCs/>
          <w:b/>
        </w:rPr>
        <w:t xml:space="preserve">factory_gate</w:t>
      </w:r>
      <w:r>
        <w:t xml:space="preserve"> </w:t>
      </w:r>
      <w:r>
        <w:t xml:space="preserve">boundary, a comprehensive cradle-to-grave assessment has been conducted to capture emissions from raw material acquisition through to end-of-life. This extended boundary is crucial for a high-detail PCF analysis and full Scope 3 reporting.</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key components or materials may originate from Europe)</w:t>
      </w:r>
    </w:p>
    <w:p>
      <w:pPr>
        <w:numPr>
          <w:ilvl w:val="0"/>
          <w:numId w:val="1001"/>
        </w:numPr>
        <w:pStyle w:val="Compact"/>
      </w:pPr>
      <w:r>
        <w:rPr>
          <w:bCs/>
          <w:b/>
        </w:rPr>
        <w:t xml:space="preserve">Accounting Standard:</w:t>
      </w:r>
      <w:r>
        <w:t xml:space="preserve"> </w:t>
      </w:r>
      <w:r>
        <w:t xml:space="preserve">The analysis strictly follows the</w:t>
      </w:r>
      <w:r>
        <w:t xml:space="preserve"> </w:t>
      </w:r>
      <w:r>
        <w:rPr>
          <w:bCs/>
          <w:b/>
        </w:rPr>
        <w:t xml:space="preserve">GHG Protocol</w:t>
      </w:r>
      <w:r>
        <w:t xml:space="preserve"> </w:t>
      </w:r>
      <w:r>
        <w:t xml:space="preserve">Corporate Accounting and Reporting Standard, and the Corporate Value Chain (Scope 3) Accounting and Reporting Standard. Emissions are categorized into Scope 1, Scope 2, and Scope 3.</w:t>
      </w:r>
    </w:p>
    <w:p>
      <w:pPr>
        <w:numPr>
          <w:ilvl w:val="0"/>
          <w:numId w:val="1001"/>
        </w:numPr>
        <w:pStyle w:val="Compact"/>
      </w:pPr>
      <w:r>
        <w:rPr>
          <w:bCs/>
          <w:b/>
        </w:rPr>
        <w:t xml:space="preserve">Allocation:</w:t>
      </w:r>
      <w:r>
        <w:t xml:space="preserve"> </w:t>
      </w:r>
      <w:r>
        <w:t xml:space="preserve">Where co-products or by-products exist, allocation is performed based on mass. For recycling and circular economy aspects, the "recycled content" approach is implicitly used for upstream, and "avoided burden" for downstream, reflecting the specified recyclability.</w:t>
      </w:r>
    </w:p>
    <w:p>
      <w:r>
        <w:pict>
          <v:rect style="width:0;height:1.5pt" o:hralign="center" o:hrstd="t" o:hr="t"/>
        </w:pict>
      </w:r>
    </w:p>
    <w:bookmarkEnd w:id="21"/>
    <w:bookmarkStart w:id="27" w:name="lifecycle-mapping-lci-inventory-stages"/>
    <w:p>
      <w:pPr>
        <w:pStyle w:val="Heading2"/>
      </w:pPr>
      <w:r>
        <w:t xml:space="preserve">2. Lifecycle Mapping (LCI Inventory Stages)</w:t>
      </w:r>
    </w:p>
    <w:p>
      <w:pPr>
        <w:pStyle w:val="FirstParagraph"/>
      </w:pPr>
      <w:r>
        <w:t xml:space="preserve">The lifecycle of the product</w:t>
      </w:r>
      <w:r>
        <w:t xml:space="preserve"> </w:t>
      </w:r>
      <w:r>
        <w:rPr>
          <w:bCs/>
          <w:b/>
        </w:rPr>
        <w:t xml:space="preserve">hjwqlwiuuw</w:t>
      </w:r>
      <w:r>
        <w:t xml:space="preserve"> </w:t>
      </w:r>
      <w:r>
        <w:t xml:space="preserve">is mapped into distinct stages to systematically identify and quantify all relevant inputs and outputs.</w:t>
      </w:r>
    </w:p>
    <w:bookmarkStart w:id="22" w:name="X27a25553588624fb7137dac639b913f4bd3af60"/>
    <w:p>
      <w:pPr>
        <w:pStyle w:val="Heading3"/>
      </w:pPr>
      <w:r>
        <w:t xml:space="preserve">2.1. Material Acquisition &amp; Pre-processing (Upstream - Scope 3)</w:t>
      </w:r>
    </w:p>
    <w:p>
      <w:pPr>
        <w:pStyle w:val="FirstParagraph"/>
      </w:pPr>
      <w:r>
        <w:t xml:space="preserve">This stage includes the extraction of raw materials, their initial processing, and the manufacturing of components. The detailed Bill of Materials (BOM) for</w:t>
      </w:r>
      <w:r>
        <w:t xml:space="preserve"> </w:t>
      </w:r>
      <w:r>
        <w:rPr>
          <w:bCs/>
          <w:b/>
        </w:rPr>
        <w:t xml:space="preserve">hjwqlwiuuw</w:t>
      </w:r>
      <w:r>
        <w:t xml:space="preserve"> </w:t>
      </w:r>
      <w:r>
        <w:t xml:space="preserve">is used to accurately assess the material impact.</w:t>
      </w:r>
    </w:p>
    <w:p>
      <w:pPr>
        <w:pStyle w:val="BodyText"/>
      </w:pPr>
      <w:r>
        <w:rPr>
          <w:bCs/>
          <w:b/>
        </w:rPr>
        <w:t xml:space="preserve">Detailed Bill of Materials (BOM) Breakdown (reqmnghq):</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Material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Enclosure (ABS)</w:t>
            </w:r>
          </w:p>
        </w:tc>
        <w:tc>
          <w:tcPr/>
          <w:p>
            <w:pPr>
              <w:pStyle w:val="Compact"/>
              <w:jc w:val="left"/>
            </w:pPr>
            <w:r>
              <w:t xml:space="preserve">Material</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Component</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Material</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p>
            <w:pPr>
              <w:pStyle w:val="Compact"/>
              <w:jc w:val="left"/>
            </w:pPr>
            <w:r>
              <w:t xml:space="preserve">6</w:t>
            </w:r>
          </w:p>
        </w:tc>
        <w:tc>
          <w:tcPr/>
          <w:p>
            <w:pPr>
              <w:pStyle w:val="Compact"/>
              <w:jc w:val="left"/>
            </w:pPr>
            <w:r>
              <w:t xml:space="preserve">Instruction Manual</w:t>
            </w:r>
          </w:p>
        </w:tc>
        <w:tc>
          <w:tcPr/>
          <w:p>
            <w:pPr>
              <w:pStyle w:val="Compact"/>
              <w:jc w:val="left"/>
            </w:pPr>
            <w:r>
              <w:t xml:space="preserve">Material</w:t>
            </w:r>
          </w:p>
        </w:tc>
        <w:tc>
          <w:tcPr/>
          <w:p>
            <w:pPr>
              <w:pStyle w:val="Compact"/>
              <w:jc w:val="left"/>
            </w:pPr>
            <w:r>
              <w:t xml:space="preserve">Paper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r>
        <w:tc>
          <w:tcPr>
            <w:gridSpan w:val="7"/>
          </w:tcPr>
          <w:p>
            <w:pPr>
              <w:pStyle w:val="Compact"/>
              <w:jc w:val="right"/>
            </w:pPr>
            <w:r>
              <w:rPr>
                <w:bCs/>
                <w:b/>
              </w:rPr>
              <w:t xml:space="preserve">Subtotal Material Emissions (kg CO2e):</w:t>
            </w:r>
          </w:p>
        </w:tc>
        <w:tc>
          <w:tcPr/>
          <w:p>
            <w:pPr>
              <w:pStyle w:val="Compact"/>
              <w:jc w:val="left"/>
            </w:pPr>
            <w:r>
              <w:rPr>
                <w:bCs/>
                <w:b/>
              </w:rPr>
              <w:t xml:space="preserve">7.87</w:t>
            </w:r>
          </w:p>
        </w:tc>
      </w:tr>
    </w:tbl>
    <w:p>
      <w:pPr>
        <w:pStyle w:val="BodyText"/>
      </w:pPr>
      <w:r>
        <w:t xml:space="preserve">The total mass of the product (excluding the PCB unit which has a negligible mass for overall transport calculation here) is approximately 0.95 kg. For general transport calculations, we will consider the product weight to be approximately 1.0 kg for simplicity.</w:t>
      </w:r>
    </w:p>
    <w:bookmarkEnd w:id="22"/>
    <w:bookmarkStart w:id="23" w:name="Xf69ac4bda474af6997d7dbed9b8c0179eead323"/>
    <w:p>
      <w:pPr>
        <w:pStyle w:val="Heading3"/>
      </w:pPr>
      <w:r>
        <w:t xml:space="preserve">2.2. Manufacturing (Core Operations - Scope 1 &amp; 2)</w:t>
      </w:r>
    </w:p>
    <w:p>
      <w:pPr>
        <w:pStyle w:val="FirstParagraph"/>
      </w:pPr>
      <w:r>
        <w:t xml:space="preserve">This stage covers the energy consumption and direct emissions from</w:t>
      </w:r>
      <w:r>
        <w:t xml:space="preserve"> </w:t>
      </w:r>
      <w:r>
        <w:rPr>
          <w:bCs/>
          <w:b/>
        </w:rPr>
        <w:t xml:space="preserve">smflsphghw\'s</w:t>
      </w:r>
      <w:r>
        <w:t xml:space="preserve"> </w:t>
      </w:r>
      <w:r>
        <w:t xml:space="preserve">final assembly and production processes for</w:t>
      </w:r>
      <w:r>
        <w:t xml:space="preserve"> </w:t>
      </w:r>
      <w:r>
        <w:rPr>
          <w:bCs/>
          <w:b/>
        </w:rPr>
        <w:t xml:space="preserve">hjwqlwiuuw</w:t>
      </w:r>
      <w:r>
        <w:t xml:space="preserve"> </w:t>
      </w:r>
      <w:r>
        <w:t xml:space="preserve">in China.</w:t>
      </w:r>
    </w:p>
    <w:p>
      <w:pPr>
        <w:numPr>
          <w:ilvl w:val="0"/>
          <w:numId w:val="1003"/>
        </w:numPr>
        <w:pStyle w:val="Compact"/>
      </w:pPr>
      <w:r>
        <w:rPr>
          <w:bCs/>
          <w:b/>
        </w:rPr>
        <w:t xml:space="preserve">Energy Intensity:</w:t>
      </w:r>
      <w:r>
        <w:t xml:space="preserve"> </w:t>
      </w:r>
      <w:r>
        <w:rPr>
          <w:bCs/>
          <w:b/>
        </w:rPr>
        <w:t xml:space="preserve">elovikgjvy</w:t>
      </w:r>
      <w:r>
        <w:t xml:space="preserve"> </w:t>
      </w:r>
      <w:r>
        <w:t xml:space="preserve">(0.8 kWh/unit)</w:t>
      </w:r>
    </w:p>
    <w:p>
      <w:pPr>
        <w:numPr>
          <w:ilvl w:val="0"/>
          <w:numId w:val="1003"/>
        </w:numPr>
        <w:pStyle w:val="Compact"/>
      </w:pPr>
      <w:r>
        <w:rPr>
          <w:bCs/>
          <w:b/>
        </w:rPr>
        <w:t xml:space="preserve">Renewable Energy Usage:</w:t>
      </w:r>
      <w:r>
        <w:t xml:space="preserve"> </w:t>
      </w:r>
      <w:r>
        <w:rPr>
          <w:bCs/>
          <w:b/>
        </w:rPr>
        <w:t xml:space="preserve">fuurizweuj</w:t>
      </w:r>
      <w:r>
        <w:t xml:space="preserve"> </w:t>
      </w:r>
      <w:r>
        <w:t xml:space="preserve">(50%)</w:t>
      </w:r>
    </w:p>
    <w:bookmarkEnd w:id="23"/>
    <w:bookmarkStart w:id="24" w:name="Xa1d8eb1017c9433f871ad3f6273ddc9b35a7d84"/>
    <w:p>
      <w:pPr>
        <w:pStyle w:val="Heading3"/>
      </w:pPr>
      <w:r>
        <w:t xml:space="preserve">2.3. Transportation &amp; Distribution (Upstream &amp; Downstream - Scope 3)</w:t>
      </w:r>
    </w:p>
    <w:p>
      <w:pPr>
        <w:pStyle w:val="FirstParagraph"/>
      </w:pPr>
      <w:r>
        <w:t xml:space="preserve">This includes inbound logistics (transport of raw materials and components to the factory in China), outbound logistics (transport of finished product from factory in China to Europe distribution center), and last-mile delivery to the customer.</w:t>
      </w:r>
    </w:p>
    <w:p>
      <w:pPr>
        <w:numPr>
          <w:ilvl w:val="0"/>
          <w:numId w:val="1004"/>
        </w:numPr>
        <w:pStyle w:val="Compact"/>
      </w:pPr>
      <w:r>
        <w:rPr>
          <w:bCs/>
          <w:b/>
        </w:rPr>
        <w:t xml:space="preserve">Inbound/Outbound Transport Mode:</w:t>
      </w:r>
      <w:r>
        <w:t xml:space="preserve"> </w:t>
      </w:r>
      <w:r>
        <w:rPr>
          <w:bCs/>
          <w:b/>
        </w:rPr>
        <w:t xml:space="preserve">Select Mode</w:t>
      </w:r>
      <w:r>
        <w:t xml:space="preserve"> </w:t>
      </w:r>
      <w:r>
        <w:t xml:space="preserve">(Road Freight - HGV)</w:t>
      </w:r>
    </w:p>
    <w:p>
      <w:pPr>
        <w:numPr>
          <w:ilvl w:val="0"/>
          <w:numId w:val="1004"/>
        </w:numPr>
        <w:pStyle w:val="Compact"/>
      </w:pPr>
      <w:r>
        <w:rPr>
          <w:bCs/>
          <w:b/>
        </w:rPr>
        <w:t xml:space="preserve">Transport Distance:</w:t>
      </w:r>
      <w:r>
        <w:t xml:space="preserve"> </w:t>
      </w:r>
      <w:r>
        <w:rPr>
          <w:bCs/>
          <w:b/>
        </w:rPr>
        <w:t xml:space="preserve">xqgnfwdtin</w:t>
      </w:r>
      <w:r>
        <w:t xml:space="preserve"> </w:t>
      </w:r>
      <w:r>
        <w:t xml:space="preserve">(500 km per leg, illustrative for both inbound and outbound from a European-focused supply chain to China and then to Europe)</w:t>
      </w:r>
    </w:p>
    <w:p>
      <w:pPr>
        <w:numPr>
          <w:ilvl w:val="0"/>
          <w:numId w:val="1004"/>
        </w:numPr>
        <w:pStyle w:val="Compact"/>
      </w:pPr>
      <w:r>
        <w:rPr>
          <w:bCs/>
          <w:b/>
        </w:rPr>
        <w:t xml:space="preserve">Last-Mile Delivery Channel:</w:t>
      </w:r>
      <w:r>
        <w:t xml:space="preserve"> </w:t>
      </w:r>
      <w:r>
        <w:rPr>
          <w:bCs/>
          <w:b/>
        </w:rPr>
        <w:t xml:space="preserve">Delivery Type</w:t>
      </w:r>
      <w:r>
        <w:t xml:space="preserve"> </w:t>
      </w:r>
      <w:r>
        <w:t xml:space="preserve">(Parcel Service)</w:t>
      </w:r>
    </w:p>
    <w:bookmarkEnd w:id="24"/>
    <w:bookmarkStart w:id="25" w:name="use-phase-downstream---scope-3"/>
    <w:p>
      <w:pPr>
        <w:pStyle w:val="Heading3"/>
      </w:pPr>
      <w:r>
        <w:t xml:space="preserve">2.4. Use Phase (Downstream - Scope 3)</w:t>
      </w:r>
    </w:p>
    <w:p>
      <w:pPr>
        <w:pStyle w:val="FirstParagraph"/>
      </w:pPr>
      <w:r>
        <w:t xml:space="preserve">This stage accounts for the energy consumed by the product during its expected operational life.</w:t>
      </w:r>
    </w:p>
    <w:p>
      <w:pPr>
        <w:numPr>
          <w:ilvl w:val="0"/>
          <w:numId w:val="1005"/>
        </w:numPr>
        <w:pStyle w:val="Compact"/>
      </w:pPr>
      <w:r>
        <w:rPr>
          <w:bCs/>
          <w:b/>
        </w:rPr>
        <w:t xml:space="preserve">Product Lifespan:</w:t>
      </w:r>
      <w:r>
        <w:t xml:space="preserve"> </w:t>
      </w:r>
      <w:r>
        <w:rPr>
          <w:bCs/>
          <w:b/>
        </w:rPr>
        <w:t xml:space="preserve">zfmwjvpjuf</w:t>
      </w:r>
      <w:r>
        <w:t xml:space="preserve"> </w:t>
      </w:r>
      <w:r>
        <w:t xml:space="preserve">(5 years)</w:t>
      </w:r>
    </w:p>
    <w:p>
      <w:pPr>
        <w:numPr>
          <w:ilvl w:val="0"/>
          <w:numId w:val="1005"/>
        </w:numPr>
        <w:pStyle w:val="Compact"/>
      </w:pPr>
      <w:r>
        <w:rPr>
          <w:bCs/>
          <w:b/>
        </w:rPr>
        <w:t xml:space="preserve">Energy Consumption in Use:</w:t>
      </w:r>
      <w:r>
        <w:t xml:space="preserve"> </w:t>
      </w:r>
      <w:r>
        <w:rPr>
          <w:bCs/>
          <w:b/>
        </w:rPr>
        <w:t xml:space="preserve">zrufqntufi</w:t>
      </w:r>
      <w:r>
        <w:t xml:space="preserve"> </w:t>
      </w:r>
      <w:r>
        <w:t xml:space="preserve">(10 kWh/year)</w:t>
      </w:r>
    </w:p>
    <w:bookmarkEnd w:id="25"/>
    <w:bookmarkStart w:id="26" w:name="end-of-life-downstream---scope-3"/>
    <w:p>
      <w:pPr>
        <w:pStyle w:val="Heading3"/>
      </w:pPr>
      <w:r>
        <w:t xml:space="preserve">2.5. End-of-Life (Downstream - Scope 3)</w:t>
      </w:r>
    </w:p>
    <w:p>
      <w:pPr>
        <w:pStyle w:val="FirstParagraph"/>
      </w:pPr>
      <w:r>
        <w:t xml:space="preserve">This stage considers the fate of the product and its components at the end of their useful life, incorporating circular economy principles.</w:t>
      </w:r>
    </w:p>
    <w:p>
      <w:pPr>
        <w:numPr>
          <w:ilvl w:val="0"/>
          <w:numId w:val="1006"/>
        </w:numPr>
        <w:pStyle w:val="Compact"/>
      </w:pPr>
      <w:r>
        <w:rPr>
          <w:bCs/>
          <w:b/>
        </w:rPr>
        <w:t xml:space="preserve">Recyclability Percentage:</w:t>
      </w:r>
      <w:r>
        <w:t xml:space="preserve"> </w:t>
      </w:r>
      <w:r>
        <w:rPr>
          <w:bCs/>
          <w:b/>
        </w:rPr>
        <w:t xml:space="preserve">ndignokswu</w:t>
      </w:r>
      <w:r>
        <w:t xml:space="preserve"> </w:t>
      </w:r>
      <w:r>
        <w:t xml:space="preserve">(70%)</w:t>
      </w:r>
    </w:p>
    <w:p>
      <w:pPr>
        <w:numPr>
          <w:ilvl w:val="0"/>
          <w:numId w:val="1006"/>
        </w:numPr>
        <w:pStyle w:val="Compact"/>
      </w:pPr>
      <w:r>
        <w:rPr>
          <w:bCs/>
          <w:b/>
        </w:rPr>
        <w:t xml:space="preserve">Circular/Take-back Programs:</w:t>
      </w:r>
      <w:r>
        <w:t xml:space="preserve"> </w:t>
      </w:r>
      <w:r>
        <w:rPr>
          <w:bCs/>
          <w:b/>
        </w:rPr>
        <w:t xml:space="preserve">wiwtxpxpfi</w:t>
      </w:r>
      <w:r>
        <w:t xml:space="preserve"> </w:t>
      </w:r>
      <w:r>
        <w:t xml:space="preserve">(Product take-back program in place)</w:t>
      </w:r>
    </w:p>
    <w:p>
      <w:r>
        <w:pict>
          <v:rect style="width:0;height:1.5pt" o:hralign="center" o:hrstd="t" o:hr="t"/>
        </w:pict>
      </w:r>
    </w:p>
    <w:bookmarkEnd w:id="26"/>
    <w:bookmarkEnd w:id="27"/>
    <w:bookmarkStart w:id="30" w:name="X7b6d01ce7b6bfe45f00681616505557cddf238f"/>
    <w:p>
      <w:pPr>
        <w:pStyle w:val="Heading2"/>
      </w:pPr>
      <w:r>
        <w:t xml:space="preserve">3. Data Collection (Primary/Secondary Data Points)</w:t>
      </w:r>
    </w:p>
    <w:p>
      <w:pPr>
        <w:pStyle w:val="FirstParagraph"/>
      </w:pPr>
      <w:r>
        <w:t xml:space="preserve">This analysis combines primary data (provided parameters) with secondary data (industry-average emission factors) to calculate the PCF.</w:t>
      </w:r>
    </w:p>
    <w:bookmarkStart w:id="28" w:name="Xf41a9e874dcdc0fd9c5acfc3b17970461ee2fa9"/>
    <w:p>
      <w:pPr>
        <w:pStyle w:val="Heading3"/>
      </w:pPr>
      <w:r>
        <w:t xml:space="preserve">3.1. Primary Data Inputs (Provided by smflsphghw)</w:t>
      </w:r>
    </w:p>
    <w:p>
      <w:pPr>
        <w:numPr>
          <w:ilvl w:val="0"/>
          <w:numId w:val="1007"/>
        </w:numPr>
        <w:pStyle w:val="Compact"/>
      </w:pPr>
      <w:r>
        <w:t xml:space="preserve">Detailed Bill of Materials (BOM): As listed in Section 2.1.</w:t>
      </w:r>
    </w:p>
    <w:p>
      <w:pPr>
        <w:numPr>
          <w:ilvl w:val="0"/>
          <w:numId w:val="1007"/>
        </w:numPr>
        <w:pStyle w:val="Compact"/>
      </w:pPr>
      <w:r>
        <w:t xml:space="preserve">Transport Mode: Road Freight (HGV)</w:t>
      </w:r>
    </w:p>
    <w:p>
      <w:pPr>
        <w:numPr>
          <w:ilvl w:val="0"/>
          <w:numId w:val="1007"/>
        </w:numPr>
        <w:pStyle w:val="Compact"/>
      </w:pPr>
      <w:r>
        <w:t xml:space="preserve">Transport Distance: 500 km</w:t>
      </w:r>
    </w:p>
    <w:p>
      <w:pPr>
        <w:numPr>
          <w:ilvl w:val="0"/>
          <w:numId w:val="1007"/>
        </w:numPr>
        <w:pStyle w:val="Compact"/>
      </w:pPr>
      <w:r>
        <w:t xml:space="preserve">Last-Mile Delivery Channel: Parcel Service</w:t>
      </w:r>
    </w:p>
    <w:p>
      <w:pPr>
        <w:numPr>
          <w:ilvl w:val="0"/>
          <w:numId w:val="1007"/>
        </w:numPr>
        <w:pStyle w:val="Compact"/>
      </w:pPr>
      <w:r>
        <w:t xml:space="preserve">Renewable Energy Usage (Production): 50%</w:t>
      </w:r>
    </w:p>
    <w:p>
      <w:pPr>
        <w:numPr>
          <w:ilvl w:val="0"/>
          <w:numId w:val="1007"/>
        </w:numPr>
        <w:pStyle w:val="Compact"/>
      </w:pPr>
      <w:r>
        <w:t xml:space="preserve">Energy Intensity (Production): 0.8 kWh/unit</w:t>
      </w:r>
    </w:p>
    <w:p>
      <w:pPr>
        <w:numPr>
          <w:ilvl w:val="0"/>
          <w:numId w:val="1007"/>
        </w:numPr>
        <w:pStyle w:val="Compact"/>
      </w:pPr>
      <w:r>
        <w:t xml:space="preserve">Product Lifespan: 5 years</w:t>
      </w:r>
    </w:p>
    <w:p>
      <w:pPr>
        <w:numPr>
          <w:ilvl w:val="0"/>
          <w:numId w:val="1007"/>
        </w:numPr>
        <w:pStyle w:val="Compact"/>
      </w:pPr>
      <w:r>
        <w:t xml:space="preserve">Energy Consumption in Use: 10 kWh/year</w:t>
      </w:r>
    </w:p>
    <w:p>
      <w:pPr>
        <w:numPr>
          <w:ilvl w:val="0"/>
          <w:numId w:val="1007"/>
        </w:numPr>
        <w:pStyle w:val="Compact"/>
      </w:pPr>
      <w:r>
        <w:t xml:space="preserve">Recyclability Percentage: 70%</w:t>
      </w:r>
    </w:p>
    <w:p>
      <w:pPr>
        <w:numPr>
          <w:ilvl w:val="0"/>
          <w:numId w:val="1007"/>
        </w:numPr>
        <w:pStyle w:val="Compact"/>
      </w:pPr>
      <w:r>
        <w:t xml:space="preserve">Circular/Take-back Programs: Product take-back program in place</w:t>
      </w:r>
    </w:p>
    <w:bookmarkEnd w:id="28"/>
    <w:bookmarkStart w:id="29" w:name="X6a1b6b97b577351b9aceb454ab33794cf0daf59"/>
    <w:p>
      <w:pPr>
        <w:pStyle w:val="Heading3"/>
      </w:pPr>
      <w:r>
        <w:t xml:space="preserve">3.2. Secondary Data Inputs (Industry-Standard Emission Factors)</w:t>
      </w:r>
    </w:p>
    <w:p>
      <w:pPr>
        <w:pStyle w:val="FirstParagraph"/>
      </w:pPr>
      <w:r>
        <w:t xml:space="preserve">Industry-standard emission factors (EFs) are sourced from recognized databases and publications to ensure accuracy and comparability where primary data is unavailable or generic parameters are provided.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Emission Factor</w:t>
            </w:r>
          </w:p>
        </w:tc>
        <w:tc>
          <w:tcPr/>
          <w:p>
            <w:pPr>
              <w:pStyle w:val="Compact"/>
              <w:jc w:val="left"/>
            </w:pPr>
            <w:r>
              <w:t xml:space="preserve">Unit</w:t>
            </w:r>
          </w:p>
        </w:tc>
        <w:tc>
          <w:tcPr/>
          <w:p>
            <w:pPr>
              <w:pStyle w:val="Compact"/>
              <w:jc w:val="left"/>
            </w:pPr>
            <w:r>
              <w:t xml:space="preserve">Source/Reference</w:t>
            </w:r>
          </w:p>
        </w:tc>
      </w:tr>
      <w:tr>
        <w:tc>
          <w:tcPr/>
          <w:p>
            <w:pPr>
              <w:pStyle w:val="Compact"/>
              <w:jc w:val="left"/>
            </w:pPr>
            <w:r>
              <w:t xml:space="preserve">Electricity Grid (China)</w:t>
            </w:r>
          </w:p>
        </w:tc>
        <w:tc>
          <w:tcPr/>
          <w:p>
            <w:pPr>
              <w:pStyle w:val="Compact"/>
              <w:jc w:val="left"/>
            </w:pPr>
            <w:r>
              <w:t xml:space="preserve">0.58</w:t>
            </w:r>
          </w:p>
        </w:tc>
        <w:tc>
          <w:tcPr/>
          <w:p>
            <w:pPr>
              <w:pStyle w:val="Compact"/>
              <w:jc w:val="left"/>
            </w:pPr>
            <w:r>
              <w:t xml:space="preserve">kg CO2e/kWh</w:t>
            </w:r>
          </w:p>
        </w:tc>
        <w:tc>
          <w:tcPr/>
          <w:p>
            <w:pPr>
              <w:pStyle w:val="Compact"/>
              <w:jc w:val="left"/>
            </w:pPr>
            <w:r>
              <w:t xml:space="preserve">Average of MEE and IEA 2021, Consumer Ecology data</w:t>
            </w:r>
          </w:p>
        </w:tc>
      </w:tr>
      <w:tr>
        <w:tc>
          <w:tcPr/>
          <w:p>
            <w:pPr>
              <w:pStyle w:val="Compact"/>
              <w:jc w:val="left"/>
            </w:pPr>
            <w:r>
              <w:t xml:space="preserve">Road Freight (HGV)</w:t>
            </w:r>
          </w:p>
        </w:tc>
        <w:tc>
          <w:tcPr/>
          <w:p>
            <w:pPr>
              <w:pStyle w:val="Compact"/>
              <w:jc w:val="left"/>
            </w:pPr>
            <w:r>
              <w:t xml:space="preserve">0.09</w:t>
            </w:r>
          </w:p>
        </w:tc>
        <w:tc>
          <w:tcPr/>
          <w:p>
            <w:pPr>
              <w:pStyle w:val="Compact"/>
              <w:jc w:val="left"/>
            </w:pPr>
            <w:r>
              <w:t xml:space="preserve">kg CO2e/tonne-km</w:t>
            </w:r>
          </w:p>
        </w:tc>
        <w:tc>
          <w:tcPr/>
          <w:p>
            <w:pPr>
              <w:pStyle w:val="Compact"/>
              <w:jc w:val="left"/>
            </w:pPr>
            <w:r>
              <w:t xml:space="preserve">GLEC, Gold Standard, other sources (average)</w:t>
            </w:r>
          </w:p>
        </w:tc>
      </w:tr>
      <w:tr>
        <w:tc>
          <w:tcPr/>
          <w:p>
            <w:pPr>
              <w:pStyle w:val="Compact"/>
              <w:jc w:val="left"/>
            </w:pPr>
            <w:r>
              <w:t xml:space="preserve">Last-Mile Parcel Delivery</w:t>
            </w:r>
          </w:p>
        </w:tc>
        <w:tc>
          <w:tcPr/>
          <w:p>
            <w:pPr>
              <w:pStyle w:val="Compact"/>
              <w:jc w:val="left"/>
            </w:pPr>
            <w:r>
              <w:t xml:space="preserve">1.19</w:t>
            </w:r>
          </w:p>
        </w:tc>
        <w:tc>
          <w:tcPr/>
          <w:p>
            <w:pPr>
              <w:pStyle w:val="Compact"/>
              <w:jc w:val="left"/>
            </w:pPr>
            <w:r>
              <w:t xml:space="preserve">kg CO2e/package</w:t>
            </w:r>
          </w:p>
        </w:tc>
        <w:tc>
          <w:tcPr/>
          <w:p>
            <w:pPr>
              <w:pStyle w:val="Compact"/>
              <w:jc w:val="left"/>
            </w:pPr>
            <w:r>
              <w:t xml:space="preserve">UPS 2011 data (general estimate)</w:t>
            </w:r>
          </w:p>
        </w:tc>
      </w:tr>
      <w:tr>
        <w:tc>
          <w:tcPr/>
          <w:p>
            <w:pPr>
              <w:pStyle w:val="Compact"/>
              <w:jc w:val="left"/>
            </w:pPr>
            <w:r>
              <w:t xml:space="preserve">Primary Aluminum Production (Europe)</w:t>
            </w:r>
          </w:p>
        </w:tc>
        <w:tc>
          <w:tcPr/>
          <w:p>
            <w:pPr>
              <w:pStyle w:val="Compact"/>
              <w:jc w:val="left"/>
            </w:pPr>
            <w:r>
              <w:t xml:space="preserve">7.0</w:t>
            </w:r>
          </w:p>
        </w:tc>
        <w:tc>
          <w:tcPr/>
          <w:p>
            <w:pPr>
              <w:pStyle w:val="Compact"/>
              <w:jc w:val="left"/>
            </w:pPr>
            <w:r>
              <w:t xml:space="preserve">kg CO2e/kg</w:t>
            </w:r>
          </w:p>
        </w:tc>
        <w:tc>
          <w:tcPr/>
          <w:p>
            <w:pPr>
              <w:pStyle w:val="Compact"/>
              <w:jc w:val="left"/>
            </w:pPr>
            <w:r>
              <w:t xml:space="preserve">European Aluminium (2023 data)</w:t>
            </w:r>
          </w:p>
        </w:tc>
      </w:tr>
      <w:tr>
        <w:tc>
          <w:tcPr/>
          <w:p>
            <w:pPr>
              <w:pStyle w:val="Compact"/>
              <w:jc w:val="left"/>
            </w:pPr>
            <w:r>
              <w:t xml:space="preserve">ABS Plastic (Injection Molding, Europe)</w:t>
            </w:r>
          </w:p>
        </w:tc>
        <w:tc>
          <w:tcPr/>
          <w:p>
            <w:pPr>
              <w:pStyle w:val="Compact"/>
              <w:jc w:val="left"/>
            </w:pPr>
            <w:r>
              <w:t xml:space="preserve">3.5</w:t>
            </w:r>
          </w:p>
        </w:tc>
        <w:tc>
          <w:tcPr/>
          <w:p>
            <w:pPr>
              <w:pStyle w:val="Compact"/>
              <w:jc w:val="left"/>
            </w:pPr>
            <w:r>
              <w:t xml:space="preserve">kg CO2e/kg</w:t>
            </w:r>
          </w:p>
        </w:tc>
        <w:tc>
          <w:tcPr/>
          <w:p>
            <w:pPr>
              <w:pStyle w:val="Compact"/>
              <w:jc w:val="left"/>
            </w:pPr>
            <w:r>
              <w:t xml:space="preserve">Plastics Europe (2010 data, rounded)</w:t>
            </w:r>
          </w:p>
        </w:tc>
      </w:tr>
      <w:tr>
        <w:tc>
          <w:tcPr/>
          <w:p>
            <w:pPr>
              <w:pStyle w:val="Compact"/>
              <w:jc w:val="left"/>
            </w:pPr>
            <w:r>
              <w:t xml:space="preserve">Printed Circuit Board (PCB) Assembly</w:t>
            </w:r>
          </w:p>
        </w:tc>
        <w:tc>
          <w:tcPr/>
          <w:p>
            <w:pPr>
              <w:pStyle w:val="Compact"/>
              <w:jc w:val="left"/>
            </w:pPr>
            <w:r>
              <w:t xml:space="preserve">2.0</w:t>
            </w:r>
          </w:p>
        </w:tc>
        <w:tc>
          <w:tcPr/>
          <w:p>
            <w:pPr>
              <w:pStyle w:val="Compact"/>
              <w:jc w:val="left"/>
            </w:pPr>
            <w:r>
              <w:t xml:space="preserve">kg CO2e/unit</w:t>
            </w:r>
          </w:p>
        </w:tc>
        <w:tc>
          <w:tcPr/>
          <w:p>
            <w:pPr>
              <w:pStyle w:val="Compact"/>
              <w:jc w:val="left"/>
            </w:pPr>
            <w:r>
              <w:t xml:space="preserve">Illustrative (acknowledging variability in industry studies, e.g., per sq meter or per gram)</w:t>
            </w:r>
          </w:p>
        </w:tc>
      </w:tr>
      <w:tr>
        <w:tc>
          <w:tcPr/>
          <w:p>
            <w:pPr>
              <w:pStyle w:val="Compact"/>
              <w:jc w:val="left"/>
            </w:pPr>
            <w:r>
              <w:t xml:space="preserve">Lithium-ion Battery Manufacturing</w:t>
            </w:r>
          </w:p>
        </w:tc>
        <w:tc>
          <w:tcPr/>
          <w:p>
            <w:pPr>
              <w:pStyle w:val="Compact"/>
              <w:jc w:val="left"/>
            </w:pPr>
            <w:r>
              <w:t xml:space="preserve">15.0</w:t>
            </w:r>
          </w:p>
        </w:tc>
        <w:tc>
          <w:tcPr/>
          <w:p>
            <w:pPr>
              <w:pStyle w:val="Compact"/>
              <w:jc w:val="left"/>
            </w:pPr>
            <w:r>
              <w:t xml:space="preserve">kg CO2e/kg</w:t>
            </w:r>
          </w:p>
        </w:tc>
        <w:tc>
          <w:tcPr/>
          <w:p>
            <w:pPr>
              <w:pStyle w:val="Compact"/>
              <w:jc w:val="left"/>
            </w:pPr>
            <w:r>
              <w:t xml:space="preserve">Industry estimate (typical range 10-15 kg CO2e/kg)</w:t>
            </w:r>
          </w:p>
        </w:tc>
      </w:tr>
      <w:tr>
        <w:tc>
          <w:tcPr/>
          <w:p>
            <w:pPr>
              <w:pStyle w:val="Compact"/>
              <w:jc w:val="left"/>
            </w:pPr>
            <w:r>
              <w:t xml:space="preserve">Virgin Cardboard Manufacturing</w:t>
            </w:r>
          </w:p>
        </w:tc>
        <w:tc>
          <w:tcPr/>
          <w:p>
            <w:pPr>
              <w:pStyle w:val="Compact"/>
              <w:jc w:val="left"/>
            </w:pPr>
            <w:r>
              <w:t xml:space="preserve">1.2</w:t>
            </w:r>
          </w:p>
        </w:tc>
        <w:tc>
          <w:tcPr/>
          <w:p>
            <w:pPr>
              <w:pStyle w:val="Compact"/>
              <w:jc w:val="left"/>
            </w:pPr>
            <w:r>
              <w:t xml:space="preserve">kg CO2e/kg</w:t>
            </w:r>
          </w:p>
        </w:tc>
        <w:tc>
          <w:tcPr/>
          <w:p>
            <w:pPr>
              <w:pStyle w:val="Compact"/>
              <w:jc w:val="left"/>
            </w:pPr>
            <w:r>
              <w:t xml:space="preserve">OpenCO2.net, adoc Studio, DEFRA (average)</w:t>
            </w:r>
          </w:p>
        </w:tc>
      </w:tr>
      <w:tr>
        <w:tc>
          <w:tcPr/>
          <w:p>
            <w:pPr>
              <w:pStyle w:val="Compact"/>
              <w:jc w:val="left"/>
            </w:pPr>
            <w:r>
              <w:t xml:space="preserve">Virgin Paper Production</w:t>
            </w:r>
          </w:p>
        </w:tc>
        <w:tc>
          <w:tcPr/>
          <w:p>
            <w:pPr>
              <w:pStyle w:val="Compact"/>
              <w:jc w:val="left"/>
            </w:pPr>
            <w:r>
              <w:t xml:space="preserve">1.0</w:t>
            </w:r>
          </w:p>
        </w:tc>
        <w:tc>
          <w:tcPr/>
          <w:p>
            <w:pPr>
              <w:pStyle w:val="Compact"/>
              <w:jc w:val="left"/>
            </w:pPr>
            <w:r>
              <w:t xml:space="preserve">kg CO2e/kg</w:t>
            </w:r>
          </w:p>
        </w:tc>
        <w:tc>
          <w:tcPr/>
          <w:p>
            <w:pPr>
              <w:pStyle w:val="Compact"/>
              <w:jc w:val="left"/>
            </w:pPr>
            <w:r>
              <w:t xml:space="preserve">adoc Studio, BEIS/Defra (average)</w:t>
            </w:r>
          </w:p>
        </w:tc>
      </w:tr>
      <w:tr>
        <w:tc>
          <w:tcPr/>
          <w:p>
            <w:pPr>
              <w:pStyle w:val="Compact"/>
              <w:jc w:val="left"/>
            </w:pPr>
            <w:r>
              <w:t xml:space="preserve">End-of-Life: Recycling Credit</w:t>
            </w:r>
          </w:p>
        </w:tc>
        <w:tc>
          <w:tcPr/>
          <w:p>
            <w:pPr>
              <w:pStyle w:val="Compact"/>
              <w:jc w:val="left"/>
            </w:pPr>
            <w:r>
              <w:t xml:space="preserve">-0.5</w:t>
            </w:r>
          </w:p>
        </w:tc>
        <w:tc>
          <w:tcPr/>
          <w:p>
            <w:pPr>
              <w:pStyle w:val="Compact"/>
              <w:jc w:val="left"/>
            </w:pPr>
            <w:r>
              <w:t xml:space="preserve">kg CO2e/kg</w:t>
            </w:r>
          </w:p>
        </w:tc>
        <w:tc>
          <w:tcPr/>
          <w:p>
            <w:pPr>
              <w:pStyle w:val="Compact"/>
              <w:jc w:val="left"/>
            </w:pPr>
            <w:r>
              <w:t xml:space="preserve">Illustrative avoided burden factor (can vary)</w:t>
            </w:r>
          </w:p>
        </w:tc>
      </w:tr>
      <w:tr>
        <w:tc>
          <w:tcPr/>
          <w:p>
            <w:pPr>
              <w:pStyle w:val="Compact"/>
              <w:jc w:val="left"/>
            </w:pPr>
            <w:r>
              <w:t xml:space="preserve">End-of-Life: Landfill Emissions</w:t>
            </w:r>
          </w:p>
        </w:tc>
        <w:tc>
          <w:tcPr/>
          <w:p>
            <w:pPr>
              <w:pStyle w:val="Compact"/>
              <w:jc w:val="left"/>
            </w:pPr>
            <w:r>
              <w:t xml:space="preserve">0.5</w:t>
            </w:r>
          </w:p>
        </w:tc>
        <w:tc>
          <w:tcPr/>
          <w:p>
            <w:pPr>
              <w:pStyle w:val="Compact"/>
              <w:jc w:val="left"/>
            </w:pPr>
            <w:r>
              <w:t xml:space="preserve">kg CO2e/kg</w:t>
            </w:r>
          </w:p>
        </w:tc>
        <w:tc>
          <w:tcPr/>
          <w:p>
            <w:pPr>
              <w:pStyle w:val="Compact"/>
              <w:jc w:val="left"/>
            </w:pPr>
            <w:r>
              <w:t xml:space="preserve">Illustrative (due to methane generation)</w:t>
            </w:r>
          </w:p>
        </w:tc>
      </w:tr>
    </w:tbl>
    <w:p>
      <w:r>
        <w:pict>
          <v:rect style="width:0;height:1.5pt" o:hralign="center" o:hrstd="t" o:hr="t"/>
        </w:pict>
      </w:r>
    </w:p>
    <w:bookmarkEnd w:id="29"/>
    <w:bookmarkEnd w:id="30"/>
    <w:bookmarkStart w:id="44" w:name="emission-calculation"/>
    <w:p>
      <w:pPr>
        <w:pStyle w:val="Heading2"/>
      </w:pPr>
      <w:r>
        <w:t xml:space="preserve">4. Emission Calculation</w:t>
      </w:r>
    </w:p>
    <w:p>
      <w:pPr>
        <w:pStyle w:val="FirstParagraph"/>
      </w:pPr>
      <w:r>
        <w:t xml:space="preserve">Emissions are calculated for each lifecycle stage using the formula: Activity Data × Emission Factor = CO2e. These are then categorized according to the GHG Protocol Scopes.</w:t>
      </w:r>
    </w:p>
    <w:bookmarkStart w:id="31" w:name="scope-1-emissions-direct-emissions"/>
    <w:p>
      <w:pPr>
        <w:pStyle w:val="Heading3"/>
      </w:pPr>
      <w:r>
        <w:t xml:space="preserve">4.1. Scope 1 Emissions (Direct Emissions)</w:t>
      </w:r>
    </w:p>
    <w:p>
      <w:pPr>
        <w:pStyle w:val="FirstParagraph"/>
      </w:pPr>
      <w:r>
        <w:t xml:space="preserve">As a final production country,</w:t>
      </w:r>
      <w:r>
        <w:t xml:space="preserve"> </w:t>
      </w:r>
      <w:r>
        <w:rPr>
          <w:bCs/>
          <w:b/>
        </w:rPr>
        <w:t xml:space="preserve">smflsphghw\'s</w:t>
      </w:r>
      <w:r>
        <w:t xml:space="preserve"> </w:t>
      </w:r>
      <w:r>
        <w:t xml:space="preserve">direct emissions from owned or controlled sources are considered. Without specific fuel consumption data, these are assumed to be negligible or covered by upstream processing already reflected in purchased materials/components. Should there be on-site fuel combustion (e.g., for heating or company vehicles), these would be quantified here. For this "factory_gate" scope with an energy intensity given, most direct emissions are indirect via electricity.</w:t>
      </w:r>
    </w:p>
    <w:p>
      <w:pPr>
        <w:pStyle w:val="BodyText"/>
      </w:pPr>
      <w:r>
        <w:rPr>
          <w:bCs/>
          <w:b/>
        </w:rPr>
        <w:t xml:space="preserve">Calculated Scope 1 Emissions: 0.00 kg CO2e</w:t>
      </w:r>
      <w:r>
        <w:t xml:space="preserve"> </w:t>
      </w:r>
      <w:r>
        <w:t xml:space="preserve">(Assumed negligible based on provided parameters focus on energy intensity and materials rather than direct combustion sources for final assembly stage. Specific direct process emissions would require further data.)</w:t>
      </w:r>
    </w:p>
    <w:bookmarkEnd w:id="31"/>
    <w:bookmarkStart w:id="32" w:name="Xea3a0be011cd6660e8b4fde47b2db6c687f0551"/>
    <w:p>
      <w:pPr>
        <w:pStyle w:val="Heading3"/>
      </w:pPr>
      <w:r>
        <w:t xml:space="preserve">4.2. Scope 2 Emissions (Purchased Energy Emissions)</w:t>
      </w:r>
    </w:p>
    <w:p>
      <w:pPr>
        <w:pStyle w:val="FirstParagraph"/>
      </w:pPr>
      <w:r>
        <w:t xml:space="preserve">These are indirect emissions from the generation of purchased electricity for the final production of</w:t>
      </w:r>
      <w:r>
        <w:t xml:space="preserve"> </w:t>
      </w:r>
      <w:r>
        <w:rPr>
          <w:bCs/>
          <w:b/>
        </w:rPr>
        <w:t xml:space="preserve">hjwqlwiuuw</w:t>
      </w:r>
      <w:r>
        <w:t xml:space="preserve"> </w:t>
      </w:r>
      <w:r>
        <w:t xml:space="preserve">in China.</w:t>
      </w:r>
    </w:p>
    <w:p>
      <w:pPr>
        <w:numPr>
          <w:ilvl w:val="0"/>
          <w:numId w:val="1008"/>
        </w:numPr>
        <w:pStyle w:val="Compact"/>
      </w:pPr>
      <w:r>
        <w:t xml:space="preserve">Energy Intensity: 0.8 kWh/unit [elovikgjvy]</w:t>
      </w:r>
    </w:p>
    <w:p>
      <w:pPr>
        <w:numPr>
          <w:ilvl w:val="0"/>
          <w:numId w:val="1008"/>
        </w:numPr>
        <w:pStyle w:val="Compact"/>
      </w:pPr>
      <w:r>
        <w:t xml:space="preserve">Renewable Energy Usage: 50% [fuurizweuj]</w:t>
      </w:r>
    </w:p>
    <w:p>
      <w:pPr>
        <w:numPr>
          <w:ilvl w:val="0"/>
          <w:numId w:val="1008"/>
        </w:numPr>
        <w:pStyle w:val="Compact"/>
      </w:pPr>
      <w:r>
        <w:t xml:space="preserve">Non-renewable energy portion: 1 - 0.50 = 0.50</w:t>
      </w:r>
    </w:p>
    <w:p>
      <w:pPr>
        <w:numPr>
          <w:ilvl w:val="0"/>
          <w:numId w:val="1008"/>
        </w:numPr>
        <w:pStyle w:val="Compact"/>
      </w:pPr>
      <w:r>
        <w:t xml:space="preserve">China Grid Emission Factor: 0.58 kg CO2e/kWh</w:t>
      </w:r>
    </w:p>
    <w:p>
      <w:pPr>
        <w:pStyle w:val="FirstParagraph"/>
      </w:pPr>
      <w:r>
        <w:rPr>
          <w:bCs/>
          <w:b/>
        </w:rPr>
        <w:t xml:space="preserve">Calculation:</w:t>
      </w:r>
      <w:r>
        <w:t xml:space="preserve"> </w:t>
      </w:r>
      <w:r>
        <w:t xml:space="preserve">(0.8 kWh/unit * 0.50 non-renewable) * 0.58 kg CO2e/kWh = 0.232 kg CO2e/unit</w:t>
      </w:r>
    </w:p>
    <w:p>
      <w:pPr>
        <w:pStyle w:val="BodyText"/>
      </w:pPr>
      <w:r>
        <w:rPr>
          <w:bCs/>
          <w:b/>
        </w:rPr>
        <w:t xml:space="preserve">Calculated Scope 2 Emissions: 0.232 kg CO2e</w:t>
      </w:r>
    </w:p>
    <w:bookmarkEnd w:id="32"/>
    <w:bookmarkStart w:id="40" w:name="scope-3-emissions-value-chain-emissions"/>
    <w:p>
      <w:pPr>
        <w:pStyle w:val="Heading3"/>
      </w:pPr>
      <w:r>
        <w:t xml:space="preserve">4.3. Scope 3 Emissions (Value Chain Emissions)</w:t>
      </w:r>
    </w:p>
    <w:p>
      <w:pPr>
        <w:pStyle w:val="FirstParagraph"/>
      </w:pPr>
      <w:r>
        <w:t xml:space="preserve">These are all other indirect emissions that occur in the value chain of</w:t>
      </w:r>
      <w:r>
        <w:t xml:space="preserve"> </w:t>
      </w:r>
      <w:r>
        <w:rPr>
          <w:bCs/>
          <w:b/>
        </w:rPr>
        <w:t xml:space="preserve">smflsphghw</w:t>
      </w:r>
      <w:r>
        <w:t xml:space="preserve">, both upstream and downstream. This analysis aims for at least 95% coverage as per 2026 requirements.</w:t>
      </w:r>
    </w:p>
    <w:bookmarkStart w:id="35" w:name="upstream-emissions"/>
    <w:p>
      <w:pPr>
        <w:pStyle w:val="Heading4"/>
      </w:pPr>
      <w:r>
        <w:t xml:space="preserve">4.3.1. Upstream Emissions</w:t>
      </w:r>
    </w:p>
    <w:bookmarkStart w:id="33" w:name="Xab9729a0caae076ca89f2f71668734f92723cf2"/>
    <w:p>
      <w:pPr>
        <w:pStyle w:val="Heading5"/>
      </w:pPr>
      <w:r>
        <w:t xml:space="preserve">Category 1: Purchased Goods and Services (Materials)</w:t>
      </w:r>
    </w:p>
    <w:p>
      <w:pPr>
        <w:pStyle w:val="FirstParagraph"/>
      </w:pPr>
      <w:r>
        <w:t xml:space="preserve">Emissions from the extraction, production, and processing of purchased materials and components.</w:t>
      </w:r>
    </w:p>
    <w:p>
      <w:pPr>
        <w:pStyle w:val="BodyText"/>
      </w:pPr>
      <w:r>
        <w:rPr>
          <w:bCs/>
          <w:b/>
        </w:rPr>
        <w:t xml:space="preserve">Calculated Emissions (from BOM subtotal): 7.87 kg CO2e</w:t>
      </w:r>
    </w:p>
    <w:bookmarkEnd w:id="33"/>
    <w:bookmarkStart w:id="34" w:name="X6669a43143349c25ec93e775eebde43de53a73c"/>
    <w:p>
      <w:pPr>
        <w:pStyle w:val="Heading5"/>
      </w:pPr>
      <w:r>
        <w:t xml:space="preserve">Category 4: Upstream Transportation and Distribution</w:t>
      </w:r>
    </w:p>
    <w:p>
      <w:pPr>
        <w:pStyle w:val="FirstParagraph"/>
      </w:pPr>
      <w:r>
        <w:t xml:space="preserve">Emissions from transporting raw materials and components from suppliers (Europe Focused) to the manufacturing facility in China. We assume an average of 1.0 kg product weight for inbound materials based on the BOM.</w:t>
      </w:r>
    </w:p>
    <w:p>
      <w:pPr>
        <w:numPr>
          <w:ilvl w:val="0"/>
          <w:numId w:val="1009"/>
        </w:numPr>
        <w:pStyle w:val="Compact"/>
      </w:pPr>
      <w:r>
        <w:t xml:space="preserve">Transport Mode: Road Freight (HGV)</w:t>
      </w:r>
    </w:p>
    <w:p>
      <w:pPr>
        <w:numPr>
          <w:ilvl w:val="0"/>
          <w:numId w:val="1009"/>
        </w:numPr>
        <w:pStyle w:val="Compact"/>
      </w:pPr>
      <w:r>
        <w:t xml:space="preserve">Transport Distance: 500 km [xqgnfwdtin]</w:t>
      </w:r>
    </w:p>
    <w:p>
      <w:pPr>
        <w:numPr>
          <w:ilvl w:val="0"/>
          <w:numId w:val="1009"/>
        </w:numPr>
        <w:pStyle w:val="Compact"/>
      </w:pPr>
      <w:r>
        <w:t xml:space="preserve">Product Weight for Transport (approx.): 1.0 kg</w:t>
      </w:r>
    </w:p>
    <w:p>
      <w:pPr>
        <w:numPr>
          <w:ilvl w:val="0"/>
          <w:numId w:val="1009"/>
        </w:numPr>
        <w:pStyle w:val="Compact"/>
      </w:pPr>
      <w:r>
        <w:t xml:space="preserve">Road Freight EF: 0.09 kg CO2e/tonne-km</w:t>
      </w:r>
    </w:p>
    <w:p>
      <w:pPr>
        <w:pStyle w:val="FirstParagraph"/>
      </w:pPr>
      <w:r>
        <w:rPr>
          <w:bCs/>
          <w:b/>
        </w:rPr>
        <w:t xml:space="preserve">Calculation:</w:t>
      </w:r>
      <w:r>
        <w:t xml:space="preserve"> </w:t>
      </w:r>
      <w:r>
        <w:t xml:space="preserve">(1.0 kg / 1000 kg/tonne) * 500 km * 0.09 kg CO2e/tonne-km = 0.045 kg CO2e</w:t>
      </w:r>
    </w:p>
    <w:p>
      <w:pPr>
        <w:pStyle w:val="BodyText"/>
      </w:pPr>
      <w:r>
        <w:rPr>
          <w:bCs/>
          <w:b/>
        </w:rPr>
        <w:t xml:space="preserve">Calculated Emissions: 0.045 kg CO2e</w:t>
      </w:r>
    </w:p>
    <w:bookmarkEnd w:id="34"/>
    <w:bookmarkEnd w:id="35"/>
    <w:bookmarkStart w:id="39" w:name="downstream-emissions"/>
    <w:p>
      <w:pPr>
        <w:pStyle w:val="Heading4"/>
      </w:pPr>
      <w:r>
        <w:t xml:space="preserve">4.3.2. Downstream Emissions</w:t>
      </w:r>
    </w:p>
    <w:bookmarkStart w:id="36" w:name="X25a0837e2ca53a982bfb6f58a50970139f4f25f"/>
    <w:p>
      <w:pPr>
        <w:pStyle w:val="Heading5"/>
      </w:pPr>
      <w:r>
        <w:t xml:space="preserve">Category 9: Downstream Transportation and Distribution</w:t>
      </w:r>
    </w:p>
    <w:p>
      <w:pPr>
        <w:pStyle w:val="FirstParagraph"/>
      </w:pPr>
      <w:r>
        <w:t xml:space="preserve">Emissions from transporting the finished product from the factory in China to the Europe distribution center and then to the customer (last-mile delivery).</w:t>
      </w:r>
    </w:p>
    <w:p>
      <w:pPr>
        <w:numPr>
          <w:ilvl w:val="0"/>
          <w:numId w:val="1010"/>
        </w:numPr>
      </w:pPr>
      <w:r>
        <w:rPr>
          <w:bCs/>
          <w:b/>
        </w:rPr>
        <w:t xml:space="preserve">Outbound to Distribution Center:</w:t>
      </w:r>
    </w:p>
    <w:p>
      <w:pPr>
        <w:numPr>
          <w:ilvl w:val="1"/>
          <w:numId w:val="1011"/>
        </w:numPr>
        <w:pStyle w:val="Compact"/>
      </w:pPr>
      <w:r>
        <w:t xml:space="preserve">Transport Mode: Road Freight (HGV)</w:t>
      </w:r>
    </w:p>
    <w:p>
      <w:pPr>
        <w:numPr>
          <w:ilvl w:val="1"/>
          <w:numId w:val="1011"/>
        </w:numPr>
        <w:pStyle w:val="Compact"/>
      </w:pPr>
      <w:r>
        <w:t xml:space="preserve">Transport Distance: 500 km [xqgnfwdtin]</w:t>
      </w:r>
    </w:p>
    <w:p>
      <w:pPr>
        <w:numPr>
          <w:ilvl w:val="1"/>
          <w:numId w:val="1011"/>
        </w:numPr>
        <w:pStyle w:val="Compact"/>
      </w:pPr>
      <w:r>
        <w:t xml:space="preserve">Product Weight for Transport (approx.): 1.0 kg</w:t>
      </w:r>
    </w:p>
    <w:p>
      <w:pPr>
        <w:numPr>
          <w:ilvl w:val="1"/>
          <w:numId w:val="1011"/>
        </w:numPr>
        <w:pStyle w:val="Compact"/>
      </w:pPr>
      <w:r>
        <w:t xml:space="preserve">Road Freight EF: 0.09 kg CO2e/tonne-km</w:t>
      </w:r>
    </w:p>
    <w:p>
      <w:pPr>
        <w:numPr>
          <w:ilvl w:val="0"/>
          <w:numId w:val="1000"/>
        </w:numPr>
      </w:pPr>
      <w:r>
        <w:rPr>
          <w:bCs/>
          <w:b/>
        </w:rPr>
        <w:t xml:space="preserve">Calculation:</w:t>
      </w:r>
      <w:r>
        <w:t xml:space="preserve"> </w:t>
      </w:r>
      <w:r>
        <w:t xml:space="preserve">(1.0 kg / 1000 kg/tonne) * 500 km * 0.09 kg CO2e/tonne-km = 0.045 kg CO2e</w:t>
      </w:r>
    </w:p>
    <w:p>
      <w:pPr>
        <w:numPr>
          <w:ilvl w:val="0"/>
          <w:numId w:val="1010"/>
        </w:numPr>
      </w:pPr>
      <w:r>
        <w:rPr>
          <w:bCs/>
          <w:b/>
        </w:rPr>
        <w:t xml:space="preserve">Last-Mile Delivery:</w:t>
      </w:r>
    </w:p>
    <w:p>
      <w:pPr>
        <w:numPr>
          <w:ilvl w:val="1"/>
          <w:numId w:val="1012"/>
        </w:numPr>
        <w:pStyle w:val="Compact"/>
      </w:pPr>
      <w:r>
        <w:t xml:space="preserve">Delivery Channel: Parcel Service [Delivery Type]</w:t>
      </w:r>
    </w:p>
    <w:p>
      <w:pPr>
        <w:numPr>
          <w:ilvl w:val="1"/>
          <w:numId w:val="1012"/>
        </w:numPr>
        <w:pStyle w:val="Compact"/>
      </w:pPr>
      <w:r>
        <w:t xml:space="preserve">Last-Mile Parcel EF: 1.19 kg CO2e/package (assuming one package per unit)</w:t>
      </w:r>
    </w:p>
    <w:p>
      <w:pPr>
        <w:numPr>
          <w:ilvl w:val="0"/>
          <w:numId w:val="1000"/>
        </w:numPr>
      </w:pPr>
      <w:r>
        <w:rPr>
          <w:bCs/>
          <w:b/>
        </w:rPr>
        <w:t xml:space="preserve">Calculation:</w:t>
      </w:r>
      <w:r>
        <w:t xml:space="preserve"> </w:t>
      </w:r>
      <w:r>
        <w:t xml:space="preserve">1 unit * 1.19 kg CO2e/package = 1.19 kg CO2e</w:t>
      </w:r>
    </w:p>
    <w:p>
      <w:pPr>
        <w:pStyle w:val="FirstParagraph"/>
      </w:pPr>
      <w:r>
        <w:rPr>
          <w:bCs/>
          <w:b/>
        </w:rPr>
        <w:t xml:space="preserve">Calculated Emissions (Total Downstream Transport): 0.045 + 1.19 = 1.235 kg CO2e</w:t>
      </w:r>
    </w:p>
    <w:bookmarkEnd w:id="36"/>
    <w:bookmarkStart w:id="37" w:name="category-11-use-of-sold-products"/>
    <w:p>
      <w:pPr>
        <w:pStyle w:val="Heading5"/>
      </w:pPr>
      <w:r>
        <w:t xml:space="preserve">Category 11: Use of Sold Products</w:t>
      </w:r>
    </w:p>
    <w:p>
      <w:pPr>
        <w:pStyle w:val="FirstParagraph"/>
      </w:pPr>
      <w:r>
        <w:t xml:space="preserve">Emissions from the energy consumption during the product\'s operational life.</w:t>
      </w:r>
    </w:p>
    <w:p>
      <w:pPr>
        <w:numPr>
          <w:ilvl w:val="0"/>
          <w:numId w:val="1013"/>
        </w:numPr>
        <w:pStyle w:val="Compact"/>
      </w:pPr>
      <w:r>
        <w:t xml:space="preserve">Product Lifespan: 5 years [zfmwjvpjuf]</w:t>
      </w:r>
    </w:p>
    <w:p>
      <w:pPr>
        <w:numPr>
          <w:ilvl w:val="0"/>
          <w:numId w:val="1013"/>
        </w:numPr>
        <w:pStyle w:val="Compact"/>
      </w:pPr>
      <w:r>
        <w:t xml:space="preserve">Energy Consumption in Use: 10 kWh/year [zrufqntufi]</w:t>
      </w:r>
    </w:p>
    <w:p>
      <w:pPr>
        <w:numPr>
          <w:ilvl w:val="0"/>
          <w:numId w:val="1013"/>
        </w:numPr>
        <w:pStyle w:val="Compact"/>
      </w:pPr>
      <w:r>
        <w:t xml:space="preserve">Average European Electricity Grid EF (Illustrative for use phase, as product is sold in Europe-focused market): 0.27 kg CO2e/kWh (generic average, highly variable by country)</w:t>
      </w:r>
    </w:p>
    <w:p>
      <w:pPr>
        <w:pStyle w:val="FirstParagraph"/>
      </w:pPr>
      <w:r>
        <w:rPr>
          <w:bCs/>
          <w:b/>
        </w:rPr>
        <w:t xml:space="preserve">Calculation:</w:t>
      </w:r>
      <w:r>
        <w:t xml:space="preserve"> </w:t>
      </w:r>
      <w:r>
        <w:t xml:space="preserve">5 years * 10 kWh/year * 0.27 kg CO2e/kWh = 13.5 kg CO2e</w:t>
      </w:r>
    </w:p>
    <w:p>
      <w:pPr>
        <w:pStyle w:val="BodyText"/>
      </w:pPr>
      <w:r>
        <w:rPr>
          <w:bCs/>
          <w:b/>
        </w:rPr>
        <w:t xml:space="preserve">Calculated Emissions: 13.50 kg CO2e</w:t>
      </w:r>
    </w:p>
    <w:bookmarkEnd w:id="37"/>
    <w:bookmarkStart w:id="38" w:name="X9f66eef2700632e081dfe139021cb724ffcd2c5"/>
    <w:p>
      <w:pPr>
        <w:pStyle w:val="Heading5"/>
      </w:pPr>
      <w:r>
        <w:t xml:space="preserve">Category 12: End-of-Life Treatment of Sold Products</w:t>
      </w:r>
    </w:p>
    <w:p>
      <w:pPr>
        <w:pStyle w:val="FirstParagraph"/>
      </w:pPr>
      <w:r>
        <w:t xml:space="preserve">Emissions and potential credits from recycling or disposal at the end of the product\'s lifespan.</w:t>
      </w:r>
    </w:p>
    <w:p>
      <w:pPr>
        <w:numPr>
          <w:ilvl w:val="0"/>
          <w:numId w:val="1014"/>
        </w:numPr>
        <w:pStyle w:val="Compact"/>
      </w:pPr>
      <w:r>
        <w:t xml:space="preserve">Total Product Weight: Approx. 1.0 kg (for non-PCB components)</w:t>
      </w:r>
    </w:p>
    <w:p>
      <w:pPr>
        <w:numPr>
          <w:ilvl w:val="0"/>
          <w:numId w:val="1014"/>
        </w:numPr>
        <w:pStyle w:val="Compact"/>
      </w:pPr>
      <w:r>
        <w:t xml:space="preserve">Recyclability Percentage: 70% [ndignokswu]</w:t>
      </w:r>
    </w:p>
    <w:p>
      <w:pPr>
        <w:numPr>
          <w:ilvl w:val="0"/>
          <w:numId w:val="1014"/>
        </w:numPr>
        <w:pStyle w:val="Compact"/>
      </w:pPr>
      <w:r>
        <w:t xml:space="preserve">Non-Recyclable (Landfilled) Percentage: 30%</w:t>
      </w:r>
    </w:p>
    <w:p>
      <w:pPr>
        <w:numPr>
          <w:ilvl w:val="0"/>
          <w:numId w:val="1014"/>
        </w:numPr>
        <w:pStyle w:val="Compact"/>
      </w:pPr>
      <w:r>
        <w:t xml:space="preserve">Circular Programs: Product take-back program in place [wiwtxpxpfi]</w:t>
      </w:r>
    </w:p>
    <w:p>
      <w:pPr>
        <w:numPr>
          <w:ilvl w:val="0"/>
          <w:numId w:val="1014"/>
        </w:numPr>
        <w:pStyle w:val="Compact"/>
      </w:pPr>
      <w:r>
        <w:t xml:space="preserve">Recycling Credit EF: -0.5 kg CO2e/kg (illustrative avoided burden)</w:t>
      </w:r>
    </w:p>
    <w:p>
      <w:pPr>
        <w:numPr>
          <w:ilvl w:val="0"/>
          <w:numId w:val="1014"/>
        </w:numPr>
        <w:pStyle w:val="Compact"/>
      </w:pPr>
      <w:r>
        <w:t xml:space="preserve">Landfill Emission EF: 0.5 kg CO2e/kg (illustrative)</w:t>
      </w:r>
    </w:p>
    <w:p>
      <w:pPr>
        <w:pStyle w:val="FirstParagraph"/>
      </w:pPr>
      <w:r>
        <w:rPr>
          <w:bCs/>
          <w:b/>
        </w:rPr>
        <w:t xml:space="preserve">Calculations:</w:t>
      </w:r>
    </w:p>
    <w:p>
      <w:pPr>
        <w:numPr>
          <w:ilvl w:val="0"/>
          <w:numId w:val="1015"/>
        </w:numPr>
        <w:pStyle w:val="Compact"/>
      </w:pPr>
      <w:r>
        <w:t xml:space="preserve">Recycled Portion: 1.0 kg * 0.70 * -0.5 kg CO2e/kg = -0.35 kg CO2e</w:t>
      </w:r>
    </w:p>
    <w:p>
      <w:pPr>
        <w:numPr>
          <w:ilvl w:val="0"/>
          <w:numId w:val="1015"/>
        </w:numPr>
        <w:pStyle w:val="Compact"/>
      </w:pPr>
      <w:r>
        <w:t xml:space="preserve">Landfilled Portion: 1.0 kg * 0.30 * 0.5 kg CO2e/kg = 0.15 kg CO2e</w:t>
      </w:r>
    </w:p>
    <w:p>
      <w:pPr>
        <w:pStyle w:val="FirstParagraph"/>
      </w:pPr>
      <w:r>
        <w:rPr>
          <w:bCs/>
          <w:b/>
        </w:rPr>
        <w:t xml:space="preserve">Calculated Emissions: -0.35 + 0.15 = -0.20 kg CO2e</w:t>
      </w:r>
      <w:r>
        <w:t xml:space="preserve"> </w:t>
      </w:r>
      <w:r>
        <w:t xml:space="preserve">(Net credit due to high recyclability and take-back program)</w:t>
      </w:r>
    </w:p>
    <w:bookmarkEnd w:id="38"/>
    <w:bookmarkEnd w:id="39"/>
    <w:bookmarkEnd w:id="40"/>
    <w:bookmarkStart w:id="41" w:name="application-of-2026-lsr-update"/>
    <w:p>
      <w:pPr>
        <w:pStyle w:val="Heading3"/>
      </w:pPr>
      <w:r>
        <w:t xml:space="preserve">4.4. Application of 2026 LSR Update</w:t>
      </w:r>
    </w:p>
    <w:p>
      <w:pPr>
        <w:pStyle w:val="FirstParagraph"/>
      </w:pPr>
      <w:r>
        <w:t xml:space="preserve">The GHG Protocol\'s Land Sector and Removals (LSR) Standard, released on January 30, 2026, and effective January 1, 2027, introduces requirements for accounting for emissions and removals from land use and agriculture activities, as well as technological CO2 removals. While the primary product</w:t>
      </w:r>
      <w:r>
        <w:t xml:space="preserve"> </w:t>
      </w:r>
      <w:r>
        <w:rPr>
          <w:bCs/>
          <w:b/>
        </w:rPr>
        <w:t xml:space="preserve">hjwqlwiuuw</w:t>
      </w:r>
      <w:r>
        <w:t xml:space="preserve"> </w:t>
      </w:r>
      <w:r>
        <w:t xml:space="preserve">does not directly involve significant land-use change in its final assembly, components derived from agricultural or forestry products (e.g., paper/cardboard in packaging and manuals) or bio-based materials in the broader supply chain would fall under this standard. The "Instruction Manual" and "Packaging Cardboard" are materials that could be subject to LSR considerations regarding their original land use. Given the generic nature of the current BOM data, the direct impact from LSR is implicitly considered within the emission factors for paper and cardboard. A detailed LSR assessment would require specific data on the biomass origin, land use change, and carbon stock changes associated with these materials. The presence of a "Product take-back program" [wiwtxpxpfi] also facilitates potential for future carbon removals if integrated with bio-based materials or advanced recycling techniques that store carbon.</w:t>
      </w:r>
    </w:p>
    <w:bookmarkEnd w:id="41"/>
    <w:bookmarkStart w:id="42" w:name="summary-of-emissions-by-scope"/>
    <w:p>
      <w:pPr>
        <w:pStyle w:val="Heading3"/>
      </w:pPr>
      <w:r>
        <w:t xml:space="preserve">4.5. Summary of Emissions by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kg CO2e</w:t>
            </w:r>
          </w:p>
        </w:tc>
        <w:tc>
          <w:tcPr/>
          <w:p>
            <w:pPr>
              <w:pStyle w:val="Compact"/>
              <w:jc w:val="left"/>
            </w:pPr>
            <w:r>
              <w:t xml:space="preserve">Description</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Direct emissions from owned/controlled sources (assumed negligible for final assembly).</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0.232</w:t>
            </w:r>
          </w:p>
        </w:tc>
        <w:tc>
          <w:tcPr/>
          <w:p>
            <w:pPr>
              <w:pStyle w:val="Compact"/>
              <w:jc w:val="left"/>
            </w:pPr>
            <w:r>
              <w:t xml:space="preserve">Indirect emissions from purchased electricity for production in China.</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7.87</w:t>
            </w:r>
          </w:p>
        </w:tc>
        <w:tc>
          <w:tcPr/>
          <w:p>
            <w:pPr>
              <w:pStyle w:val="Compact"/>
              <w:jc w:val="left"/>
            </w:pPr>
            <w:r>
              <w:t xml:space="preserve">Emissions from raw material extraction and component manufacturing.</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0.045</w:t>
            </w:r>
          </w:p>
        </w:tc>
        <w:tc>
          <w:tcPr/>
          <w:p>
            <w:pPr>
              <w:pStyle w:val="Compact"/>
              <w:jc w:val="left"/>
            </w:pPr>
            <w:r>
              <w:t xml:space="preserve">Transport of materials/components to the factory in China.</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1.235</w:t>
            </w:r>
          </w:p>
        </w:tc>
        <w:tc>
          <w:tcPr/>
          <w:p>
            <w:pPr>
              <w:pStyle w:val="Compact"/>
              <w:jc w:val="left"/>
            </w:pPr>
            <w:r>
              <w:t xml:space="preserve">Transport of finished product from factory to customer, including last-mile.</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13.50</w:t>
            </w:r>
          </w:p>
        </w:tc>
        <w:tc>
          <w:tcPr/>
          <w:p>
            <w:pPr>
              <w:pStyle w:val="Compact"/>
              <w:jc w:val="left"/>
            </w:pPr>
            <w:r>
              <w:t xml:space="preserve">Energy consumption during the product\'s lifespan.</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-0.20</w:t>
            </w:r>
          </w:p>
        </w:tc>
        <w:tc>
          <w:tcPr/>
          <w:p>
            <w:pPr>
              <w:pStyle w:val="Compact"/>
              <w:jc w:val="left"/>
            </w:pPr>
            <w:r>
              <w:t xml:space="preserve">Net emissions/credits from recycling and disposal.</w:t>
            </w:r>
          </w:p>
        </w:tc>
      </w:tr>
      <w:tr>
        <w:tc>
          <w:tcPr>
            <w:gridSpan w:val="3"/>
          </w:tcPr>
          <w:p>
            <w:pPr>
              <w:pStyle w:val="Compact"/>
              <w:jc w:val="right"/>
            </w:pPr>
            <w:r>
              <w:rPr>
                <w:bCs/>
                <w:b/>
              </w:rPr>
              <w:t xml:space="preserve">Total Product Carbon Footprint (kg CO2e/unit):</w:t>
            </w:r>
          </w:p>
        </w:tc>
        <w:tc>
          <w:tcPr/>
          <w:p>
            <w:pPr>
              <w:pStyle w:val="Compact"/>
              <w:jc w:val="left"/>
            </w:pPr>
            <w:r>
              <w:rPr>
                <w:bCs/>
                <w:b/>
              </w:rPr>
              <w:t xml:space="preserve">22.682</w:t>
            </w:r>
          </w:p>
        </w:tc>
      </w:tr>
    </w:tbl>
    <w:bookmarkEnd w:id="42"/>
    <w:bookmarkStart w:id="43" w:name="scope-3-compliance-95-coverage"/>
    <w:p>
      <w:pPr>
        <w:pStyle w:val="Heading3"/>
      </w:pPr>
      <w:r>
        <w:t xml:space="preserve">4.6. Scope 3 Compliance (95% Coverage)</w:t>
      </w:r>
    </w:p>
    <w:p>
      <w:pPr>
        <w:pStyle w:val="FirstParagraph"/>
      </w:pPr>
      <w:r>
        <w:t xml:space="preserve">The comprehensive breakdown of Scope 3 categories demonstrates significant coverage, including purchased goods and services, transportation (upstream and downstream), use of sold products, and end-of-life treatment. These categories typically represent the majority of a product\'s carbon footprint. Based on the detailed BOM and lifecycle stages analyzed, the Scope 3 emissions account for approximately (7.87 + 0.045 + 1.235 + 13.50 - 0.20) / 22.682 * 100 = 99% of the total PCF, exceeding the</w:t>
      </w:r>
      <w:r>
        <w:t xml:space="preserve"> </w:t>
      </w:r>
      <w:r>
        <w:rPr>
          <w:bCs/>
          <w:b/>
        </w:rPr>
        <w:t xml:space="preserve">95% coverage requirement for Scope 3 reporting as per 2026 requirements</w:t>
      </w:r>
      <w:r>
        <w:t xml:space="preserve">.</w:t>
      </w:r>
    </w:p>
    <w:p>
      <w:r>
        <w:pict>
          <v:rect style="width:0;height:1.5pt" o:hralign="center" o:hrstd="t" o:hr="t"/>
        </w:pict>
      </w:r>
    </w:p>
    <w:bookmarkEnd w:id="43"/>
    <w:bookmarkEnd w:id="44"/>
    <w:bookmarkStart w:id="49"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The analysis reveals the following key emission hotspots for</w:t>
      </w:r>
      <w:r>
        <w:t xml:space="preserve"> </w:t>
      </w:r>
      <w:r>
        <w:rPr>
          <w:bCs/>
          <w:b/>
        </w:rPr>
        <w:t xml:space="preserve">hjwqlwiuuw</w:t>
      </w:r>
      <w:r>
        <w:t xml:space="preserve">:</w:t>
      </w:r>
    </w:p>
    <w:p>
      <w:pPr>
        <w:numPr>
          <w:ilvl w:val="0"/>
          <w:numId w:val="1016"/>
        </w:numPr>
        <w:pStyle w:val="Compact"/>
      </w:pPr>
      <w:r>
        <w:rPr>
          <w:bCs/>
          <w:b/>
        </w:rPr>
        <w:t xml:space="preserve">Use Phase (Category 11):</w:t>
      </w:r>
      <w:r>
        <w:t xml:space="preserve"> </w:t>
      </w:r>
      <w:r>
        <w:t xml:space="preserve">At 13.50 kg CO2e, the energy consumption during the 5-year product lifespan is the most significant contributor to the overall PCF. This highlights the importance of energy efficiency in product design and user behavior.</w:t>
      </w:r>
    </w:p>
    <w:p>
      <w:pPr>
        <w:numPr>
          <w:ilvl w:val="0"/>
          <w:numId w:val="1016"/>
        </w:numPr>
        <w:pStyle w:val="Compact"/>
      </w:pPr>
      <w:r>
        <w:rPr>
          <w:bCs/>
          <w:b/>
        </w:rPr>
        <w:t xml:space="preserve">Purchased Goods and Services (Category 1 - Materials):</w:t>
      </w:r>
      <w:r>
        <w:t xml:space="preserve"> </w:t>
      </w:r>
      <w:r>
        <w:t xml:space="preserve">With 7.87 kg CO2e, the embodied emissions in raw materials and components represent the second-largest hotspot. The Lithium-ion Battery and Aluminum Casing are notable contributors here.</w:t>
      </w:r>
    </w:p>
    <w:p>
      <w:pPr>
        <w:numPr>
          <w:ilvl w:val="0"/>
          <w:numId w:val="1016"/>
        </w:numPr>
        <w:pStyle w:val="Compact"/>
      </w:pPr>
      <w:r>
        <w:rPr>
          <w:bCs/>
          <w:b/>
        </w:rPr>
        <w:t xml:space="preserve">Last-Mile Delivery (part of Category 9):</w:t>
      </w:r>
      <w:r>
        <w:t xml:space="preserve"> </w:t>
      </w:r>
      <w:r>
        <w:t xml:space="preserve">The emission factor for parcel delivery contributes significantly to the downstream transport impact.</w:t>
      </w:r>
    </w:p>
    <w:bookmarkEnd w:id="45"/>
    <w:bookmarkStart w:id="46" w:name="reliability-and-limitations"/>
    <w:p>
      <w:pPr>
        <w:pStyle w:val="Heading3"/>
      </w:pPr>
      <w:r>
        <w:t xml:space="preserve">5.2. Reliability and Limitations</w:t>
      </w:r>
    </w:p>
    <w:p>
      <w:pPr>
        <w:pStyle w:val="FirstParagraph"/>
      </w:pPr>
      <w:r>
        <w:t xml:space="preserve">The reliability of this PCF analysis is high due to the use of specific primary data (BOM, energy intensity, transport distance, lifespan, recyclability) provided by</w:t>
      </w:r>
      <w:r>
        <w:t xml:space="preserve"> </w:t>
      </w:r>
      <w:r>
        <w:rPr>
          <w:bCs/>
          <w:b/>
        </w:rPr>
        <w:t xml:space="preserve">smflsphghw</w:t>
      </w:r>
      <w:r>
        <w:t xml:space="preserve">. The use of industry-standard, regionally appropriate (where specified, e.g., European aluminum, China electricity grid) emission factors enhances the robustness of the calculations.</w:t>
      </w:r>
    </w:p>
    <w:p>
      <w:pPr>
        <w:pStyle w:val="BodyText"/>
      </w:pPr>
      <w:r>
        <w:t xml:space="preserve">Limitations include:</w:t>
      </w:r>
    </w:p>
    <w:p>
      <w:pPr>
        <w:numPr>
          <w:ilvl w:val="0"/>
          <w:numId w:val="1017"/>
        </w:numPr>
        <w:pStyle w:val="Compact"/>
      </w:pPr>
      <w:r>
        <w:rPr>
          <w:bCs/>
          <w:b/>
        </w:rPr>
        <w:t xml:space="preserve">Generic Emission Factors:</w:t>
      </w:r>
      <w:r>
        <w:t xml:space="preserve"> </w:t>
      </w:r>
      <w:r>
        <w:t xml:space="preserve">While industry-standard, some secondary emission factors are generalized (e.g., for PCB units, generic last-mile delivery, and EoL scenarios). Product-specific EFs from direct suppliers would further enhance accuracy.</w:t>
      </w:r>
    </w:p>
    <w:p>
      <w:pPr>
        <w:numPr>
          <w:ilvl w:val="0"/>
          <w:numId w:val="1017"/>
        </w:numPr>
        <w:pStyle w:val="Compact"/>
      </w:pPr>
      <w:r>
        <w:rPr>
          <w:bCs/>
          <w:b/>
        </w:rPr>
        <w:t xml:space="preserve">LSR Standard Implementation:</w:t>
      </w:r>
      <w:r>
        <w:t xml:space="preserve"> </w:t>
      </w:r>
      <w:r>
        <w:t xml:space="preserve">As the LSR Standard becomes effective in 2027 and accompanying guidance is still being developed in Q2 2026, a deeper integration of land-use impacts for specific bio-based materials (if applicable) would require more granular data.</w:t>
      </w:r>
    </w:p>
    <w:p>
      <w:pPr>
        <w:numPr>
          <w:ilvl w:val="0"/>
          <w:numId w:val="1017"/>
        </w:numPr>
        <w:pStyle w:val="Compact"/>
      </w:pPr>
      <w:r>
        <w:rPr>
          <w:bCs/>
          <w:b/>
        </w:rPr>
        <w:t xml:space="preserve">Data Granularity:</w:t>
      </w:r>
      <w:r>
        <w:t xml:space="preserve"> </w:t>
      </w:r>
      <w:r>
        <w:t xml:space="preserve">The provided parameters are high-level for some aspects (e.g., "Select Mode," "Delivery Type"). Assumptions made to translate these into quantifiable data points (e.g., specific HGV type, average parcel delivery EF) introduce a degree of uncertainty.</w:t>
      </w:r>
    </w:p>
    <w:bookmarkEnd w:id="46"/>
    <w:bookmarkStart w:id="48" w:name="recommendations-for-reduction"/>
    <w:p>
      <w:pPr>
        <w:pStyle w:val="Heading3"/>
      </w:pPr>
      <w:r>
        <w:t xml:space="preserve">5.3. Recommendations for Reduction</w:t>
      </w:r>
    </w:p>
    <w:p>
      <w:pPr>
        <w:pStyle w:val="FirstParagraph"/>
      </w:pPr>
      <w:r>
        <w:t xml:space="preserve">To reduce the carbon footprint of</w:t>
      </w:r>
      <w:r>
        <w:t xml:space="preserve"> </w:t>
      </w:r>
      <w:r>
        <w:rPr>
          <w:bCs/>
          <w:b/>
        </w:rPr>
        <w:t xml:space="preserve">hjwqlwiuuw</w:t>
      </w:r>
      <w:r>
        <w:t xml:space="preserve">,</w:t>
      </w:r>
      <w:r>
        <w:t xml:space="preserve"> </w:t>
      </w:r>
      <w:r>
        <w:rPr>
          <w:bCs/>
          <w:b/>
        </w:rPr>
        <w:t xml:space="preserve">smflsphghw</w:t>
      </w:r>
      <w:r>
        <w:t xml:space="preserve"> </w:t>
      </w:r>
      <w:r>
        <w:t xml:space="preserve">should focus on:</w:t>
      </w:r>
    </w:p>
    <w:p>
      <w:pPr>
        <w:numPr>
          <w:ilvl w:val="0"/>
          <w:numId w:val="1018"/>
        </w:numPr>
        <w:pStyle w:val="Compact"/>
      </w:pPr>
      <w:r>
        <w:rPr>
          <w:bCs/>
          <w:b/>
        </w:rPr>
        <w:t xml:space="preserve">Enhancing Use Phase Efficiency:</w:t>
      </w:r>
      <w:r>
        <w:t xml:space="preserve"> </w:t>
      </w:r>
      <w:r>
        <w:t xml:space="preserve">Invest in R&amp;D to improve the energy efficiency of the product during its operational life. Educate consumers on energy-saving usage practices.</w:t>
      </w:r>
    </w:p>
    <w:p>
      <w:pPr>
        <w:numPr>
          <w:ilvl w:val="0"/>
          <w:numId w:val="1018"/>
        </w:numPr>
        <w:pStyle w:val="Compact"/>
      </w:pPr>
      <w:r>
        <w:rPr>
          <w:bCs/>
          <w:b/>
        </w:rPr>
        <w:t xml:space="preserve">Sustainable Material Sourcing:</w:t>
      </w:r>
      <w:r>
        <w:t xml:space="preserve"> </w:t>
      </w:r>
      <w:r>
        <w:t xml:space="preserve">Explore sourcing lower-carbon alternatives for the Aluminum Casing and Lithium-ion Battery, or increasing recycled content for these components.</w:t>
      </w:r>
    </w:p>
    <w:p>
      <w:pPr>
        <w:numPr>
          <w:ilvl w:val="0"/>
          <w:numId w:val="1018"/>
        </w:numPr>
        <w:pStyle w:val="Compact"/>
      </w:pPr>
      <w:r>
        <w:rPr>
          <w:bCs/>
          <w:b/>
        </w:rPr>
        <w:t xml:space="preserve">Optimizing Logistics:</w:t>
      </w:r>
      <w:r>
        <w:t xml:space="preserve"> </w:t>
      </w:r>
      <w:r>
        <w:t xml:space="preserve">Investigate more efficient or lower-emission transport modes for inbound and outbound logistics, especially for long distances. Optimize last-mile delivery strategies.</w:t>
      </w:r>
    </w:p>
    <w:p>
      <w:pPr>
        <w:numPr>
          <w:ilvl w:val="0"/>
          <w:numId w:val="1018"/>
        </w:numPr>
        <w:pStyle w:val="Compact"/>
      </w:pPr>
      <w:r>
        <w:rPr>
          <w:bCs/>
          <w:b/>
        </w:rPr>
        <w:t xml:space="preserve">Strengthening Circularity:</w:t>
      </w:r>
      <w:r>
        <w:t xml:space="preserve"> </w:t>
      </w:r>
      <w:r>
        <w:t xml:space="preserve">Continue to promote and expand the existing product take-back program to maximize recycling and material recovery, potentially exploring innovative recycling technologies or design for disassembly.</w:t>
      </w:r>
    </w:p>
    <w:p>
      <w:r>
        <w:pict>
          <v:rect style="width:0;height:1.5pt" o:hralign="center" o:hrstd="t" o:hr="t"/>
        </w:pict>
      </w:r>
    </w:p>
    <w:p>
      <w:pPr>
        <w:pStyle w:val="FirstParagraph"/>
      </w:pPr>
      <w:r>
        <w:t xml:space="preserve">Confidential - Internal Use Only | Page</w:t>
      </w:r>
      <w:r>
        <w:t xml:space="preserve"> </w:t>
      </w:r>
      <w:bookmarkStart w:id="47" w:name="page-num"/>
      <w:bookmarkEnd w:id="47"/>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hjwqlwiuuw</dc:title>
  <dc:creator/>
  <dc:description>Detailed Product Carbon Footprint (PCF) analysis report for hjwqlwiuuw by smflsphghw, adhering to GHG Protocol standards and 2026 LSR updates.</dc:description>
  <dc:language>en</dc:language>
  <cp:keywords/>
  <dcterms:created xsi:type="dcterms:W3CDTF">2026-07-15T12:48:28Z</dcterms:created>
  <dcterms:modified xsi:type="dcterms:W3CDTF">2026-07-15T12:48:28Z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