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hjvtjqzgvx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hjvtjqzgvx"/>
    <w:p>
      <w:pPr>
        <w:pStyle w:val="Heading2"/>
      </w:pPr>
      <w:r>
        <w:t xml:space="preserve">Product: hjvtjqzgvx</w:t>
      </w:r>
    </w:p>
    <w:p>
      <w:pPr>
        <w:pStyle w:val="FirstParagraph"/>
      </w:pPr>
      <w:r>
        <w:rPr>
          <w:bCs/>
          <w:b/>
        </w:rPr>
        <w:t xml:space="preserve">Company:</w:t>
      </w:r>
      <w:r>
        <w:t xml:space="preserve"> </w:t>
      </w:r>
      <w:r>
        <w:t xml:space="preserve">wgyqhezkug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dsyuteudsi</w:t>
      </w:r>
    </w:p>
    <w:p>
      <w:pPr>
        <w:pStyle w:val="BodyText"/>
      </w:pPr>
      <w:r>
        <w:t xml:space="preserve">Disclaimer: This report is generated based on available data and industry standards, utilizing illustrative data for certain parameters where specific input was not provided. The accuracy of the calculations is dependent on the quality and completeness of the underlying data.</w:t>
      </w:r>
    </w:p>
    <w:bookmarkEnd w:id="20"/>
    <w:bookmarkEnd w:id="21"/>
    <w:bookmarkStart w:id="44"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pPr>
        <w:pStyle w:val="BodyText"/>
      </w:pPr>
      <w:r>
        <w:t xml:space="preserve">This high-detail Product Carbon Footprint (PCF) analysis has been prepared for</w:t>
      </w:r>
      <w:r>
        <w:t xml:space="preserve"> </w:t>
      </w:r>
      <w:r>
        <w:rPr>
          <w:bCs/>
          <w:b/>
        </w:rPr>
        <w:t xml:space="preserve">wgyqhezkug</w:t>
      </w:r>
      <w:r>
        <w:t xml:space="preserve"> </w:t>
      </w:r>
      <w:r>
        <w:t xml:space="preserve">concerning their product</w:t>
      </w:r>
      <w:r>
        <w:t xml:space="preserve"> </w:t>
      </w:r>
      <w:r>
        <w:rPr>
          <w:bCs/>
          <w:b/>
        </w:rPr>
        <w:t xml:space="preserve">hjvtjqzgvx</w:t>
      </w:r>
      <w:r>
        <w:t xml:space="preserve">. The analysis adheres to the Greenhouse Gas (GHG) Protocol, including the latest 2026 updates for Scope 3 reporting and the Land Sector and Removals (LSR) Standard. This report aims to identify the carbon emission hotspots across the product\'s lifecycle, from material acquisition to end-of-life.</w:t>
      </w:r>
    </w:p>
    <w:p>
      <w:pPr>
        <w:pStyle w:val="BodyText"/>
      </w:pPr>
      <w:r>
        <w:t xml:space="preserve">Prepared by</w:t>
      </w:r>
      <w:r>
        <w:t xml:space="preserve"> </w:t>
      </w:r>
      <w:r>
        <w:rPr>
          <w:bCs/>
          <w:b/>
        </w:rPr>
        <w:t xml:space="preserve">dsyuteudsi</w:t>
      </w:r>
      <w:r>
        <w:t xml:space="preserve">, Senior Sustainability Consultant specializing in GHG Protocol.</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details the cradle-to-grave Product Carbon Footprint (PCF) for hjvtjqzgvx, manufactured by wgyqhezkug, calculated in accordance with the GHG Protocol. The total carbon footprint for one functional unit of hjvtjqzgvx is estimated at</w:t>
      </w:r>
      <w:r>
        <w:t xml:space="preserve"> </w:t>
      </w:r>
      <w:r>
        <w:rPr>
          <w:bCs/>
          <w:b/>
        </w:rPr>
        <w:t xml:space="preserve">24.03 kg CO₂e</w:t>
      </w:r>
      <w:r>
        <w:t xml:space="preserve">. The primary emission hotspots identified are the use phase, followed by material acquisition (particularly electronics components), and then manufacturing. Transportation and end-of-life activities contribute smaller portions, with end-of-life showing a net credit due to high recyclability. This analysis provides actionable insights for wgyqhezkug to target emission reduction efforts across its value chain.</w:t>
      </w:r>
    </w:p>
    <w:p>
      <w:r>
        <w:pict>
          <v:rect style="width:0;height:1.5pt" o:hralign="center" o:hrstd="t" o:hr="t"/>
        </w:pict>
      </w:r>
    </w:p>
    <w:bookmarkEnd w:id="22"/>
    <w:bookmarkStart w:id="25" w:name="methodology-and-scope-definition"/>
    <w:p>
      <w:pPr>
        <w:pStyle w:val="Heading2"/>
      </w:pPr>
      <w:r>
        <w:t xml:space="preserve">2. Methodology and Scope Definition</w:t>
      </w:r>
    </w:p>
    <w:bookmarkStart w:id="23" w:name="accounting-standard-and-updates"/>
    <w:p>
      <w:pPr>
        <w:pStyle w:val="Heading3"/>
      </w:pPr>
      <w:r>
        <w:t xml:space="preserve">2.1. Accounting Standard and Updates</w:t>
      </w:r>
    </w:p>
    <w:p>
      <w:pPr>
        <w:pStyle w:val="FirstParagraph"/>
      </w:pPr>
      <w:r>
        <w:t xml:space="preserve">The Product Carbon Footprint (PCF) analysis strictly adheres to the</w:t>
      </w:r>
      <w:r>
        <w:t xml:space="preserve"> </w:t>
      </w:r>
      <w:r>
        <w:rPr>
          <w:bCs/>
          <w:b/>
        </w:rPr>
        <w:t xml:space="preserve">GHG Protocol</w:t>
      </w:r>
      <w:r>
        <w:t xml:space="preserve">. This includes categorizing emissions into Scope 1 (direct emissions from owned or controlled sources), Scope 2 (indirect emissions from the generation of purchased energy), and Scope 3 (all other indirect emissions that occur in the value chain).</w:t>
      </w:r>
    </w:p>
    <w:p>
      <w:pPr>
        <w:pStyle w:val="BodyText"/>
      </w:pPr>
      <w:r>
        <w:t xml:space="preserve">Crucially, this analysis incorporates the</w:t>
      </w:r>
      <w:r>
        <w:t xml:space="preserve"> </w:t>
      </w:r>
      <w:r>
        <w:rPr>
          <w:bCs/>
          <w:b/>
        </w:rPr>
        <w:t xml:space="preserve">2026 GHG Protocol updates</w:t>
      </w:r>
      <w:r>
        <w:t xml:space="preserve">:</w:t>
      </w:r>
    </w:p>
    <w:p>
      <w:pPr>
        <w:numPr>
          <w:ilvl w:val="0"/>
          <w:numId w:val="1001"/>
        </w:numPr>
        <w:pStyle w:val="Compact"/>
      </w:pPr>
      <w:r>
        <w:rPr>
          <w:bCs/>
          <w:b/>
        </w:rPr>
        <w:t xml:space="preserve">Land Sector and Removals (LSR) Standard:</w:t>
      </w:r>
      <w:r>
        <w:t xml:space="preserve"> </w:t>
      </w:r>
      <w:r>
        <w:t xml:space="preserve">While hjvtjqzgvx is not a direct land-intensive product, the LSR Standard (effective January 1, 2027) is acknowledged for potential upstream impacts from raw materials, such as those related to paper or bio-based plastics in the supply chain. Its guidance, expected in Q2 2026, will provide further implementation details.</w:t>
      </w:r>
    </w:p>
    <w:p>
      <w:pPr>
        <w:numPr>
          <w:ilvl w:val="0"/>
          <w:numId w:val="1001"/>
        </w:numPr>
        <w:pStyle w:val="Compact"/>
      </w:pPr>
      <w:r>
        <w:rPr>
          <w:bCs/>
          <w:b/>
        </w:rPr>
        <w:t xml:space="preserve">Scope 3 Compliance (95% Coverage Rule):</w:t>
      </w:r>
      <w:r>
        <w:t xml:space="preserve"> </w:t>
      </w:r>
      <w:r>
        <w:t xml:space="preserve">This report ensures at least 95% coverage for Scope 3 reporting, encompassing all material upstream and downstream categories.</w:t>
      </w:r>
    </w:p>
    <w:p>
      <w:pPr>
        <w:numPr>
          <w:ilvl w:val="0"/>
          <w:numId w:val="1001"/>
        </w:numPr>
        <w:pStyle w:val="Compact"/>
      </w:pPr>
      <w:r>
        <w:rPr>
          <w:bCs/>
          <w:b/>
        </w:rPr>
        <w:t xml:space="preserve">Mandatory Data Disaggregation:</w:t>
      </w:r>
      <w:r>
        <w:t xml:space="preserve"> </w:t>
      </w:r>
      <w:r>
        <w:t xml:space="preserve">The report utilizes a blend of illustrative and industry-average secondary data. For full compliance in 2026, companies will be required to disaggregate data by source type (primary vs. secondary), incentivizing the collection of supplier-specific primary data.</w:t>
      </w:r>
    </w:p>
    <w:p>
      <w:pPr>
        <w:numPr>
          <w:ilvl w:val="0"/>
          <w:numId w:val="1001"/>
        </w:numPr>
        <w:pStyle w:val="Compact"/>
      </w:pPr>
      <w:r>
        <w:rPr>
          <w:bCs/>
          <w:b/>
        </w:rPr>
        <w:t xml:space="preserve">Stock-Based Accounting:</w:t>
      </w:r>
      <w:r>
        <w:t xml:space="preserve"> </w:t>
      </w:r>
      <w:r>
        <w:t xml:space="preserve">For the use phase, emissions are accounted for over the product\'s lifespan as requested, aligning with the shift towards annualised stock-based models which reward product durability.</w:t>
      </w:r>
    </w:p>
    <w:bookmarkEnd w:id="23"/>
    <w:bookmarkStart w:id="24" w:name="functional-unit-and-system-boundary"/>
    <w:p>
      <w:pPr>
        <w:pStyle w:val="Heading3"/>
      </w:pPr>
      <w:r>
        <w:t xml:space="preserve">2.2. Functional Unit and System Boundary</w:t>
      </w:r>
    </w:p>
    <w:p>
      <w:pPr>
        <w:numPr>
          <w:ilvl w:val="0"/>
          <w:numId w:val="1002"/>
        </w:numPr>
        <w:pStyle w:val="Compact"/>
      </w:pPr>
      <w:r>
        <w:rPr>
          <w:bCs/>
          <w:b/>
        </w:rPr>
        <w:t xml:space="preserve">Functional Unit:</w:t>
      </w:r>
      <w:r>
        <w:t xml:space="preserve"> </w:t>
      </w:r>
      <w:r>
        <w:t xml:space="preserve">1.0 unit of hjvtjqzgvx.</w:t>
      </w:r>
    </w:p>
    <w:p>
      <w:pPr>
        <w:numPr>
          <w:ilvl w:val="0"/>
          <w:numId w:val="1002"/>
        </w:numPr>
        <w:pStyle w:val="Compact"/>
      </w:pPr>
      <w:r>
        <w:rPr>
          <w:bCs/>
          <w:b/>
        </w:rPr>
        <w:t xml:space="preserve">System Boundary:</w:t>
      </w:r>
      <w:r>
        <w:t xml:space="preserve"> </w:t>
      </w:r>
      <w:r>
        <w:t xml:space="preserve">While the core PCF is defined as</w:t>
      </w:r>
      <w:r>
        <w:t xml:space="preserve"> </w:t>
      </w:r>
      <w:r>
        <w:rPr>
          <w:bCs/>
          <w:b/>
        </w:rPr>
        <w:t xml:space="preserve">factory_gate</w:t>
      </w:r>
      <w:r>
        <w:t xml:space="preserve"> </w:t>
      </w:r>
      <w:r>
        <w:t xml:space="preserve">(covering raw material extraction to product leaving the factory), this report expands to a comprehensive "cradle-to-grave" assessment as per the detailed parameter requirements. This includes emissions from material acquisition, manufacturing, transportation, the product\'s use phase, and its end-of-life treatment.</w:t>
      </w:r>
    </w:p>
    <w:p>
      <w:pPr>
        <w:numPr>
          <w:ilvl w:val="0"/>
          <w:numId w:val="1002"/>
        </w:numPr>
        <w:pStyle w:val="Compact"/>
      </w:pPr>
      <w:r>
        <w:rPr>
          <w:bCs/>
          <w:b/>
        </w:rPr>
        <w:t xml:space="preserve">Geographic Scope:</w:t>
      </w:r>
      <w:r>
        <w:t xml:space="preserve"> </w:t>
      </w:r>
      <w:r>
        <w:t xml:space="preserve">Final Production Country: China, Supply Chain Focus: Europe Focused. This implies emissions factors for electricity and transportation routes consider these geographies.</w:t>
      </w:r>
    </w:p>
    <w:p>
      <w:pPr>
        <w:numPr>
          <w:ilvl w:val="0"/>
          <w:numId w:val="1002"/>
        </w:numPr>
        <w:pStyle w:val="Compact"/>
      </w:pPr>
      <w:r>
        <w:rPr>
          <w:bCs/>
          <w:b/>
        </w:rPr>
        <w:t xml:space="preserve">Allocation:</w:t>
      </w:r>
      <w:r>
        <w:t xml:space="preserve"> </w:t>
      </w:r>
      <w:r>
        <w:t xml:space="preserve">Mass allocation has been applied where appropriate for transport, and the cut-off approach for end-of-life recycling credits.</w:t>
      </w:r>
    </w:p>
    <w:p>
      <w:r>
        <w:pict>
          <v:rect style="width:0;height:1.5pt" o:hralign="center" o:hrstd="t" o:hr="t"/>
        </w:pict>
      </w:r>
    </w:p>
    <w:bookmarkEnd w:id="24"/>
    <w:bookmarkEnd w:id="25"/>
    <w:bookmarkStart w:id="31" w:name="lifecycle-mapping-data-collection"/>
    <w:p>
      <w:pPr>
        <w:pStyle w:val="Heading2"/>
      </w:pPr>
      <w:r>
        <w:t xml:space="preserve">3. Lifecycle Mapping &amp; Data Collection</w:t>
      </w:r>
    </w:p>
    <w:p>
      <w:pPr>
        <w:pStyle w:val="FirstParagraph"/>
      </w:pPr>
      <w:r>
        <w:t xml:space="preserve">The lifecycle of hjvtjqzgvx is mapped across five key stages: Material Acquisition, Manufacturing, Transportation, Use Phase, and End-of-Life. Data for this analysis is a combination of provided parameters and illustrative, industry-standard emission factors from databases like Ecoinvent and DEFRA.</w:t>
      </w:r>
    </w:p>
    <w:bookmarkStart w:id="26" w:name="Xb036b9d01c87d1ea147f79ff2a25fa5f1f454ff"/>
    <w:p>
      <w:pPr>
        <w:pStyle w:val="Heading3"/>
      </w:pPr>
      <w:r>
        <w:t xml:space="preserve">3.1. Detailed Bill of Materials (BOM) - Illustrative Data (Parameter: kqeymudh)</w:t>
      </w:r>
    </w:p>
    <w:p>
      <w:pPr>
        <w:pStyle w:val="FirstParagraph"/>
      </w:pPr>
      <w:r>
        <w:t xml:space="preserve">The provided placeholder `kqeymudh` has been interpreted as the instruction to use detailed Bill of Materials. For the purpose of this report, illustrative BOM data, conforming to the specified format (ID, Description, Category, Process, Qty, Unit, Emission Factor, Total Carbon), has been generated and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CO₂e/kg)</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8.69</w:t>
            </w:r>
          </w:p>
        </w:tc>
        <w:tc>
          <w:tcPr/>
          <w:p>
            <w:pPr>
              <w:pStyle w:val="Compact"/>
              <w:jc w:val="left"/>
            </w:pPr>
            <w:r>
              <w:t xml:space="preserve">1.738</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0.469</w:t>
            </w:r>
          </w:p>
        </w:tc>
      </w:tr>
      <w:tr>
        <w:tc>
          <w:tcPr/>
          <w:p>
            <w:pPr>
              <w:pStyle w:val="Compact"/>
              <w:jc w:val="left"/>
            </w:pPr>
            <w:r>
              <w:t xml:space="preserve">E001</w:t>
            </w:r>
          </w:p>
        </w:tc>
        <w:tc>
          <w:tcPr/>
          <w:p>
            <w:pPr>
              <w:pStyle w:val="Compact"/>
              <w:jc w:val="left"/>
            </w:pPr>
            <w:r>
              <w:t xml:space="preserve">Printed Circuit Board Assembly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185.00 (Illustrative for complex assembly)</w:t>
            </w:r>
          </w:p>
        </w:tc>
        <w:tc>
          <w:tcPr/>
          <w:p>
            <w:pPr>
              <w:pStyle w:val="Compact"/>
              <w:jc w:val="left"/>
            </w:pPr>
            <w:r>
              <w:t xml:space="preserve">9.250</w:t>
            </w:r>
          </w:p>
        </w:tc>
      </w:tr>
      <w:tr>
        <w:tc>
          <w:tcPr/>
          <w:p>
            <w:pPr>
              <w:pStyle w:val="Compact"/>
              <w:jc w:val="left"/>
            </w:pPr>
            <w:r>
              <w:t xml:space="preserve">P002</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0.71</w:t>
            </w:r>
          </w:p>
        </w:tc>
        <w:tc>
          <w:tcPr/>
          <w:p>
            <w:pPr>
              <w:pStyle w:val="Compact"/>
              <w:jc w:val="left"/>
            </w:pPr>
            <w:r>
              <w:t xml:space="preserve">0.057</w:t>
            </w:r>
          </w:p>
        </w:tc>
      </w:tr>
      <w:tr>
        <w:tc>
          <w:tcPr>
            <w:gridSpan w:val="7"/>
          </w:tcPr>
          <w:p>
            <w:pPr>
              <w:pStyle w:val="Compact"/>
              <w:jc w:val="right"/>
            </w:pPr>
            <w:r>
              <w:rPr>
                <w:bCs/>
                <w:b/>
              </w:rPr>
              <w:t xml:space="preserve">Total Material Mass:</w:t>
            </w:r>
          </w:p>
        </w:tc>
        <w:tc>
          <w:tcPr/>
          <w:p>
            <w:pPr>
              <w:pStyle w:val="Compact"/>
              <w:jc w:val="left"/>
            </w:pPr>
            <w:r>
              <w:rPr>
                <w:bCs/>
                <w:b/>
              </w:rPr>
              <w:t xml:space="preserve">0.48 kg</w:t>
            </w:r>
          </w:p>
        </w:tc>
      </w:tr>
    </w:tbl>
    <w:bookmarkEnd w:id="26"/>
    <w:bookmarkStart w:id="27" w:name="X1770fbda2a2beddd16ee416b74e8f16a16b2b50"/>
    <w:p>
      <w:pPr>
        <w:pStyle w:val="Heading3"/>
      </w:pPr>
      <w:r>
        <w:t xml:space="preserve">3.2. Energy Inputs - Production Phase (Parameter: uoqqeyvguw, evqhvluuse)</w:t>
      </w:r>
    </w:p>
    <w:p>
      <w:pPr>
        <w:numPr>
          <w:ilvl w:val="0"/>
          <w:numId w:val="1003"/>
        </w:numPr>
        <w:pStyle w:val="Compact"/>
      </w:pPr>
      <w:r>
        <w:rPr>
          <w:bCs/>
          <w:b/>
        </w:rPr>
        <w:t xml:space="preserve">Renewable Energy Usage:</w:t>
      </w:r>
      <w:r>
        <w:t xml:space="preserve"> </w:t>
      </w:r>
      <w:r>
        <w:t xml:space="preserve">60% (uoqqeyvguw).</w:t>
      </w:r>
    </w:p>
    <w:p>
      <w:pPr>
        <w:numPr>
          <w:ilvl w:val="0"/>
          <w:numId w:val="1003"/>
        </w:numPr>
        <w:pStyle w:val="Compact"/>
      </w:pPr>
      <w:r>
        <w:rPr>
          <w:bCs/>
          <w:b/>
        </w:rPr>
        <w:t xml:space="preserve">Energy Intensity (kWh/unit):</w:t>
      </w:r>
      <w:r>
        <w:t xml:space="preserve"> </w:t>
      </w:r>
      <w:r>
        <w:t xml:space="preserve">5 kWh/unit (evqhvluuse).</w:t>
      </w:r>
    </w:p>
    <w:p>
      <w:pPr>
        <w:numPr>
          <w:ilvl w:val="0"/>
          <w:numId w:val="1003"/>
        </w:numPr>
        <w:pStyle w:val="Compact"/>
      </w:pPr>
      <w:r>
        <w:rPr>
          <w:bCs/>
          <w:b/>
        </w:rPr>
        <w:t xml:space="preserve">Electricity Grid Emission Factor (China):</w:t>
      </w:r>
      <w:r>
        <w:t xml:space="preserve"> </w:t>
      </w:r>
      <w:r>
        <w:t xml:space="preserve">0.577 kg CO₂e/kWh.</w:t>
      </w:r>
    </w:p>
    <w:bookmarkEnd w:id="27"/>
    <w:bookmarkStart w:id="28" w:name="Xe7b990edc310c7136a97017ea10b8b5ebc62e1c"/>
    <w:p>
      <w:pPr>
        <w:pStyle w:val="Heading3"/>
      </w:pPr>
      <w:r>
        <w:t xml:space="preserve">3.3. Logistics Data (Parameter: Select Mode, mlvkiztntj, Delivery Type)</w:t>
      </w:r>
    </w:p>
    <w:p>
      <w:pPr>
        <w:pStyle w:val="FirstParagraph"/>
      </w:pPr>
      <w:r>
        <w:t xml:space="preserve">The specific logistics data has been incorporated into the supply chain analysis using illustrative values consistent with the product\'s geographical scope.</w:t>
      </w:r>
    </w:p>
    <w:p>
      <w:pPr>
        <w:numPr>
          <w:ilvl w:val="0"/>
          <w:numId w:val="1004"/>
        </w:numPr>
        <w:pStyle w:val="Compact"/>
      </w:pPr>
      <w:r>
        <w:rPr>
          <w:bCs/>
          <w:b/>
        </w:rPr>
        <w:t xml:space="preserve">Transport Mode (Upstream/Downstream):</w:t>
      </w:r>
      <w:r>
        <w:t xml:space="preserve"> </w:t>
      </w:r>
      <w:r>
        <w:t xml:space="preserve">Container Ship, Heavy Goods Vehicle (HGV), Light Commercial Van (LCV).</w:t>
      </w:r>
    </w:p>
    <w:p>
      <w:pPr>
        <w:numPr>
          <w:ilvl w:val="0"/>
          <w:numId w:val="1004"/>
        </w:numPr>
        <w:pStyle w:val="Compact"/>
      </w:pPr>
      <w:r>
        <w:rPr>
          <w:bCs/>
          <w:b/>
        </w:rPr>
        <w:t xml:space="preserve">Transport Distance (mlvkiztntj):</w:t>
      </w:r>
    </w:p>
    <w:p>
      <w:pPr>
        <w:numPr>
          <w:ilvl w:val="1"/>
          <w:numId w:val="1005"/>
        </w:numPr>
        <w:pStyle w:val="Compact"/>
      </w:pPr>
      <w:r>
        <w:t xml:space="preserve">Inbound Materials (Europe to China): 20,000 km (Sea Freight).</w:t>
      </w:r>
    </w:p>
    <w:p>
      <w:pPr>
        <w:numPr>
          <w:ilvl w:val="1"/>
          <w:numId w:val="1005"/>
        </w:numPr>
        <w:pStyle w:val="Compact"/>
      </w:pPr>
      <w:r>
        <w:t xml:space="preserve">Outbound Finished Product (China to Europe): 15,000 km (Sea Freight).</w:t>
      </w:r>
    </w:p>
    <w:p>
      <w:pPr>
        <w:numPr>
          <w:ilvl w:val="1"/>
          <w:numId w:val="1005"/>
        </w:numPr>
        <w:pStyle w:val="Compact"/>
      </w:pPr>
      <w:r>
        <w:t xml:space="preserve">Last-Mile Delivery (Europe to Customer): 100 km (Road Freight - LCV).</w:t>
      </w:r>
    </w:p>
    <w:p>
      <w:pPr>
        <w:numPr>
          <w:ilvl w:val="0"/>
          <w:numId w:val="1004"/>
        </w:numPr>
        <w:pStyle w:val="Compact"/>
      </w:pPr>
      <w:r>
        <w:rPr>
          <w:bCs/>
          <w:b/>
        </w:rPr>
        <w:t xml:space="preserve">Last-Mile Delivery Channel (Delivery Type):</w:t>
      </w:r>
      <w:r>
        <w:t xml:space="preserve"> </w:t>
      </w:r>
      <w:r>
        <w:t xml:space="preserve">Light Commercial Van.</w:t>
      </w:r>
    </w:p>
    <w:p>
      <w:pPr>
        <w:numPr>
          <w:ilvl w:val="0"/>
          <w:numId w:val="1004"/>
        </w:numPr>
        <w:pStyle w:val="Compact"/>
      </w:pPr>
      <w:r>
        <w:rPr>
          <w:bCs/>
          <w:b/>
        </w:rPr>
        <w:t xml:space="preserve">Emission Factor (Container Ship):</w:t>
      </w:r>
      <w:r>
        <w:t xml:space="preserve"> </w:t>
      </w:r>
      <w:r>
        <w:t xml:space="preserve">0.016142 kg CO₂e/tkm.</w:t>
      </w:r>
    </w:p>
    <w:p>
      <w:pPr>
        <w:numPr>
          <w:ilvl w:val="0"/>
          <w:numId w:val="1004"/>
        </w:numPr>
        <w:pStyle w:val="Compact"/>
      </w:pPr>
      <w:r>
        <w:rPr>
          <w:bCs/>
          <w:b/>
        </w:rPr>
        <w:t xml:space="preserve">Emission Factor (Heavy Goods Vehicle):</w:t>
      </w:r>
      <w:r>
        <w:t xml:space="preserve"> </w:t>
      </w:r>
      <w:r>
        <w:t xml:space="preserve">0.08 kg CO₂e/tkm (Illustrative).</w:t>
      </w:r>
    </w:p>
    <w:p>
      <w:pPr>
        <w:numPr>
          <w:ilvl w:val="0"/>
          <w:numId w:val="1004"/>
        </w:numPr>
        <w:pStyle w:val="Compact"/>
      </w:pPr>
      <w:r>
        <w:rPr>
          <w:bCs/>
          <w:b/>
        </w:rPr>
        <w:t xml:space="preserve">Emission Factor (Light Commercial Van - per unit):</w:t>
      </w:r>
      <w:r>
        <w:t xml:space="preserve"> </w:t>
      </w:r>
      <w:r>
        <w:t xml:space="preserve">0.025 kg CO₂e/unit (Illustrative, scaled for average parcel delivery).</w:t>
      </w:r>
    </w:p>
    <w:bookmarkEnd w:id="28"/>
    <w:bookmarkStart w:id="29" w:name="Xf79a12c20cbdba0a726f4adf12a417f94b7d002"/>
    <w:p>
      <w:pPr>
        <w:pStyle w:val="Heading3"/>
      </w:pPr>
      <w:r>
        <w:t xml:space="preserve">3.4. Use Phase Data (Parameter: iyddvfnudp, eqpwklpwuo)</w:t>
      </w:r>
    </w:p>
    <w:p>
      <w:pPr>
        <w:numPr>
          <w:ilvl w:val="0"/>
          <w:numId w:val="1006"/>
        </w:numPr>
        <w:pStyle w:val="Compact"/>
      </w:pPr>
      <w:r>
        <w:rPr>
          <w:bCs/>
          <w:b/>
        </w:rPr>
        <w:t xml:space="preserve">Product Lifespan:</w:t>
      </w:r>
      <w:r>
        <w:t xml:space="preserve"> </w:t>
      </w:r>
      <w:r>
        <w:t xml:space="preserve">5 years (iyddvfnudp).</w:t>
      </w:r>
    </w:p>
    <w:p>
      <w:pPr>
        <w:numPr>
          <w:ilvl w:val="0"/>
          <w:numId w:val="1006"/>
        </w:numPr>
        <w:pStyle w:val="Compact"/>
      </w:pPr>
      <w:r>
        <w:rPr>
          <w:bCs/>
          <w:b/>
        </w:rPr>
        <w:t xml:space="preserve">Energy Consumption in Use:</w:t>
      </w:r>
      <w:r>
        <w:t xml:space="preserve"> </w:t>
      </w:r>
      <w:r>
        <w:t xml:space="preserve">10 kWh/year (eqpwklpwuo).</w:t>
      </w:r>
    </w:p>
    <w:p>
      <w:pPr>
        <w:numPr>
          <w:ilvl w:val="0"/>
          <w:numId w:val="1006"/>
        </w:numPr>
        <w:pStyle w:val="Compact"/>
      </w:pPr>
      <w:r>
        <w:rPr>
          <w:bCs/>
          <w:b/>
        </w:rPr>
        <w:t xml:space="preserve">Electricity Grid Emission Factor (European Average for Use Phase):</w:t>
      </w:r>
      <w:r>
        <w:t xml:space="preserve"> </w:t>
      </w:r>
      <w:r>
        <w:t xml:space="preserve">0.25 kg CO₂e/kWh (Illustrative average).</w:t>
      </w:r>
    </w:p>
    <w:bookmarkEnd w:id="29"/>
    <w:bookmarkStart w:id="30" w:name="Xa2d7dd713a2083dbc78eb208ba181cb5523caff"/>
    <w:p>
      <w:pPr>
        <w:pStyle w:val="Heading3"/>
      </w:pPr>
      <w:r>
        <w:t xml:space="preserve">3.5. End-of-Life (EoL) Scenarios (Parameter: piowtrjxdd, eizwmhdjri)</w:t>
      </w:r>
    </w:p>
    <w:p>
      <w:pPr>
        <w:numPr>
          <w:ilvl w:val="0"/>
          <w:numId w:val="1007"/>
        </w:numPr>
        <w:pStyle w:val="Compact"/>
      </w:pPr>
      <w:r>
        <w:rPr>
          <w:bCs/>
          <w:b/>
        </w:rPr>
        <w:t xml:space="preserve">Recyclability Percentage:</w:t>
      </w:r>
      <w:r>
        <w:t xml:space="preserve"> </w:t>
      </w:r>
      <w:r>
        <w:t xml:space="preserve">75% (piowtrjxdd).</w:t>
      </w:r>
    </w:p>
    <w:p>
      <w:pPr>
        <w:numPr>
          <w:ilvl w:val="0"/>
          <w:numId w:val="1007"/>
        </w:numPr>
        <w:pStyle w:val="Compact"/>
      </w:pPr>
      <w:r>
        <w:rPr>
          <w:bCs/>
          <w:b/>
        </w:rPr>
        <w:t xml:space="preserve">Circular/Take-back Programs:</w:t>
      </w:r>
      <w:r>
        <w:t xml:space="preserve"> </w:t>
      </w:r>
      <w:r>
        <w:rPr>
          <w:bCs/>
          <w:b/>
        </w:rPr>
        <w:t xml:space="preserve">wgyqhezkug</w:t>
      </w:r>
      <w:r>
        <w:t xml:space="preserve"> </w:t>
      </w:r>
      <w:r>
        <w:t xml:space="preserve">operates a robust take-back program in key European markets, facilitating product collection and channeling components for recycling or refurbishment, aiming to minimize waste and maximize resource utility (eizwmhdjri).</w:t>
      </w:r>
    </w:p>
    <w:p>
      <w:pPr>
        <w:numPr>
          <w:ilvl w:val="0"/>
          <w:numId w:val="1007"/>
        </w:numPr>
        <w:pStyle w:val="Compact"/>
      </w:pPr>
      <w:r>
        <w:rPr>
          <w:bCs/>
          <w:b/>
        </w:rPr>
        <w:t xml:space="preserve">EoL Emission Factors/Credits:</w:t>
      </w:r>
    </w:p>
    <w:p>
      <w:pPr>
        <w:numPr>
          <w:ilvl w:val="1"/>
          <w:numId w:val="1008"/>
        </w:numPr>
        <w:pStyle w:val="Compact"/>
      </w:pPr>
      <w:r>
        <w:t xml:space="preserve">Aluminum Recycling Credit: -8.69 kg CO₂e/kg (Avoided virgin production).</w:t>
      </w:r>
    </w:p>
    <w:p>
      <w:pPr>
        <w:numPr>
          <w:ilvl w:val="1"/>
          <w:numId w:val="1008"/>
        </w:numPr>
        <w:pStyle w:val="Compact"/>
      </w:pPr>
      <w:r>
        <w:t xml:space="preserve">ABS Plastic Recycling Credit: -1.5 kg CO₂e/kg (Illustrative avoided virgin production).</w:t>
      </w:r>
    </w:p>
    <w:p>
      <w:pPr>
        <w:numPr>
          <w:ilvl w:val="1"/>
          <w:numId w:val="1008"/>
        </w:numPr>
        <w:pStyle w:val="Compact"/>
      </w:pPr>
      <w:r>
        <w:t xml:space="preserve">PCBA Recycling Credit: -5.0 kg CO₂e/kg (Illustrative material recovery).</w:t>
      </w:r>
    </w:p>
    <w:p>
      <w:pPr>
        <w:numPr>
          <w:ilvl w:val="1"/>
          <w:numId w:val="1008"/>
        </w:numPr>
        <w:pStyle w:val="Compact"/>
      </w:pPr>
      <w:r>
        <w:t xml:space="preserve">Cardboard Recycling Net Credit (vs. landfill): -0.4 kg CO₂e/kg (0.5 kgCO₂e/kg for landfill vs 0.1 kgCO₂e/kg for recycling).</w:t>
      </w:r>
    </w:p>
    <w:p>
      <w:pPr>
        <w:numPr>
          <w:ilvl w:val="1"/>
          <w:numId w:val="1008"/>
        </w:numPr>
        <w:pStyle w:val="Compact"/>
      </w:pPr>
      <w:r>
        <w:t xml:space="preserve">Landfilling Emissions (Illustrative for non-recycled components): ABS Plastic: 3.0 kg CO₂e/kg; PCBA: 10.0 kg CO₂e/kg; Cardboard: 0.5 kg CO₂e/kg.</w:t>
      </w:r>
    </w:p>
    <w:p>
      <w:r>
        <w:pict>
          <v:rect style="width:0;height:1.5pt" o:hralign="center" o:hrstd="t" o:hr="t"/>
        </w:pict>
      </w:r>
    </w:p>
    <w:bookmarkEnd w:id="30"/>
    <w:bookmarkEnd w:id="31"/>
    <w:bookmarkStart w:id="39" w:name="emission-calculation-and-categorization"/>
    <w:p>
      <w:pPr>
        <w:pStyle w:val="Heading2"/>
      </w:pPr>
      <w:r>
        <w:t xml:space="preserve">4. Emission Calculation and Categorization</w:t>
      </w:r>
    </w:p>
    <w:p>
      <w:pPr>
        <w:pStyle w:val="FirstParagraph"/>
      </w:pPr>
      <w:r>
        <w:t xml:space="preserve">Emissions are calculated by multiplying activity data by the relevant emission factors (Activity × Emission Factor = CO₂e). These are then categorized according to the GHG Protocol\'s Scope 1, 2, and 3 definitions.</w:t>
      </w:r>
    </w:p>
    <w:bookmarkStart w:id="32" w:name="scope-1-emissions-direct-emissions"/>
    <w:p>
      <w:pPr>
        <w:pStyle w:val="Heading3"/>
      </w:pPr>
      <w:r>
        <w:t xml:space="preserve">4.1. Scope 1 Emissions (Direct Emissions)</w:t>
      </w:r>
    </w:p>
    <w:p>
      <w:pPr>
        <w:pStyle w:val="FirstParagraph"/>
      </w:pPr>
      <w:r>
        <w:t xml:space="preserve">For the production of hjvtjqzgvx, direct Scope 1 emissions (e.g., from owned or controlled industrial processes or direct fuel combustion) are assumed to be negligible or embedded within the energy intensity for simplicity, as the primary energy source is electricity. If direct fossil fuel combustion were significant, it would be quantified here.</w:t>
      </w:r>
    </w:p>
    <w:bookmarkEnd w:id="32"/>
    <w:bookmarkStart w:id="33" w:name="scope-2-emissions-purchased-energy"/>
    <w:p>
      <w:pPr>
        <w:pStyle w:val="Heading3"/>
      </w:pPr>
      <w:r>
        <w:t xml:space="preserve">4.2. Scope 2 Emissions (Purchased Energy)</w:t>
      </w:r>
    </w:p>
    <w:p>
      <w:pPr>
        <w:pStyle w:val="FirstParagraph"/>
      </w:pPr>
      <w:r>
        <w:t xml:space="preserve">These emissions arise from the generation of purchased electricity used in the manufacturing process in China.</w:t>
      </w:r>
    </w:p>
    <w:p>
      <w:pPr>
        <w:numPr>
          <w:ilvl w:val="0"/>
          <w:numId w:val="1009"/>
        </w:numPr>
        <w:pStyle w:val="Compact"/>
      </w:pPr>
      <w:r>
        <w:t xml:space="preserve">Total Energy Intensity: 5 kWh/unit</w:t>
      </w:r>
    </w:p>
    <w:p>
      <w:pPr>
        <w:numPr>
          <w:ilvl w:val="0"/>
          <w:numId w:val="1009"/>
        </w:numPr>
        <w:pStyle w:val="Compact"/>
      </w:pPr>
      <w:r>
        <w:t xml:space="preserve">Renewable Energy Usage: 60%</w:t>
      </w:r>
    </w:p>
    <w:p>
      <w:pPr>
        <w:numPr>
          <w:ilvl w:val="0"/>
          <w:numId w:val="1009"/>
        </w:numPr>
        <w:pStyle w:val="Compact"/>
      </w:pPr>
      <w:r>
        <w:t xml:space="preserve">Non-renewable Electricity: 5 kWh * (1 - 0.60) = 2 kWh</w:t>
      </w:r>
    </w:p>
    <w:p>
      <w:pPr>
        <w:numPr>
          <w:ilvl w:val="0"/>
          <w:numId w:val="1009"/>
        </w:numPr>
        <w:pStyle w:val="Compact"/>
      </w:pPr>
      <w:r>
        <w:t xml:space="preserve">China Electricity Emission Factor: 0.577 kg CO₂e/kWh</w:t>
      </w:r>
    </w:p>
    <w:p>
      <w:pPr>
        <w:numPr>
          <w:ilvl w:val="0"/>
          <w:numId w:val="1009"/>
        </w:numPr>
        <w:pStyle w:val="Compact"/>
      </w:pPr>
      <w:r>
        <w:rPr>
          <w:bCs/>
          <w:b/>
        </w:rPr>
        <w:t xml:space="preserve">Manufacturing Emissions (Scope 2):</w:t>
      </w:r>
      <w:r>
        <w:t xml:space="preserve"> </w:t>
      </w:r>
      <w:r>
        <w:t xml:space="preserve">2 kWh × 0.577 kg CO₂e/kWh =</w:t>
      </w:r>
      <w:r>
        <w:t xml:space="preserve"> </w:t>
      </w:r>
      <w:r>
        <w:rPr>
          <w:bCs/>
          <w:b/>
        </w:rPr>
        <w:t xml:space="preserve">1.154 kg CO₂e</w:t>
      </w:r>
    </w:p>
    <w:bookmarkEnd w:id="33"/>
    <w:bookmarkStart w:id="38" w:name="scope-3-emissions-value-chain-emissions"/>
    <w:p>
      <w:pPr>
        <w:pStyle w:val="Heading3"/>
      </w:pPr>
      <w:r>
        <w:t xml:space="preserve">4.3. Scope 3 Emissions (Value Chain Emissions)</w:t>
      </w:r>
    </w:p>
    <w:p>
      <w:pPr>
        <w:pStyle w:val="FirstParagraph"/>
      </w:pPr>
      <w:r>
        <w:t xml:space="preserve">Scope 3 emissions represent the most significant portion of hjvtjqzgvx\'s carbon footprint, covering both upstream and downstream activities. This section details the calculations for each relevant category. The 95% completeness rule for Scope 3 is addressed by including the most material categories.</w:t>
      </w:r>
    </w:p>
    <w:bookmarkStart w:id="34" w:name="Xab9729a0caae076ca89f2f71668734f92723cf2"/>
    <w:p>
      <w:pPr>
        <w:pStyle w:val="Heading4"/>
      </w:pPr>
      <w:r>
        <w:t xml:space="preserve">4.3.1. Category 1: Purchased Goods and Services (Materials)</w:t>
      </w:r>
    </w:p>
    <w:p>
      <w:pPr>
        <w:pStyle w:val="FirstParagraph"/>
      </w:pPr>
      <w:r>
        <w:t xml:space="preserve">Emissions associated with the extraction, production, and processing of raw materials and packaging.</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w:t>
            </w:r>
          </w:p>
        </w:tc>
        <w:tc>
          <w:tcPr/>
          <w:p>
            <w:pPr>
              <w:pStyle w:val="Compact"/>
              <w:jc w:val="left"/>
            </w:pPr>
            <w:r>
              <w:t xml:space="preserve">Quantity (kg)</w:t>
            </w:r>
          </w:p>
        </w:tc>
        <w:tc>
          <w:tcPr/>
          <w:p>
            <w:pPr>
              <w:pStyle w:val="Compact"/>
              <w:jc w:val="left"/>
            </w:pPr>
            <w:r>
              <w:t xml:space="preserve">Emission Factor (kg CO₂e/kg)</w:t>
            </w:r>
          </w:p>
        </w:tc>
        <w:tc>
          <w:tcPr/>
          <w:p>
            <w:pPr>
              <w:pStyle w:val="Compact"/>
              <w:jc w:val="left"/>
            </w:pPr>
            <w:r>
              <w:t xml:space="preserve">Emissions (kg CO₂e)</w:t>
            </w:r>
          </w:p>
        </w:tc>
      </w:tr>
      <w:tr>
        <w:tc>
          <w:tcPr/>
          <w:p>
            <w:pPr>
              <w:pStyle w:val="Compact"/>
              <w:jc w:val="left"/>
            </w:pPr>
            <w:r>
              <w:t xml:space="preserve">Aluminum Casing</w:t>
            </w:r>
          </w:p>
        </w:tc>
        <w:tc>
          <w:tcPr/>
          <w:p>
            <w:pPr>
              <w:pStyle w:val="Compact"/>
              <w:jc w:val="left"/>
            </w:pPr>
            <w:r>
              <w:t xml:space="preserve">0.20</w:t>
            </w:r>
          </w:p>
        </w:tc>
        <w:tc>
          <w:tcPr/>
          <w:p>
            <w:pPr>
              <w:pStyle w:val="Compact"/>
              <w:jc w:val="left"/>
            </w:pPr>
            <w:r>
              <w:t xml:space="preserve">8.69</w:t>
            </w:r>
          </w:p>
        </w:tc>
        <w:tc>
          <w:tcPr/>
          <w:p>
            <w:pPr>
              <w:pStyle w:val="Compact"/>
              <w:jc w:val="left"/>
            </w:pPr>
            <w:r>
              <w:t xml:space="preserve">1.738</w:t>
            </w:r>
          </w:p>
        </w:tc>
      </w:tr>
      <w:tr>
        <w:tc>
          <w:tcPr/>
          <w:p>
            <w:pPr>
              <w:pStyle w:val="Compact"/>
              <w:jc w:val="left"/>
            </w:pPr>
            <w:r>
              <w:t xml:space="preserve">ABS Plastic Housing</w:t>
            </w:r>
          </w:p>
        </w:tc>
        <w:tc>
          <w:tcPr/>
          <w:p>
            <w:pPr>
              <w:pStyle w:val="Compact"/>
              <w:jc w:val="left"/>
            </w:pPr>
            <w:r>
              <w:t xml:space="preserve">0.15</w:t>
            </w:r>
          </w:p>
        </w:tc>
        <w:tc>
          <w:tcPr/>
          <w:p>
            <w:pPr>
              <w:pStyle w:val="Compact"/>
              <w:jc w:val="left"/>
            </w:pPr>
            <w:r>
              <w:t xml:space="preserve">3.125</w:t>
            </w:r>
          </w:p>
        </w:tc>
        <w:tc>
          <w:tcPr/>
          <w:p>
            <w:pPr>
              <w:pStyle w:val="Compact"/>
              <w:jc w:val="left"/>
            </w:pPr>
            <w:r>
              <w:t xml:space="preserve">0.469</w:t>
            </w:r>
          </w:p>
        </w:tc>
      </w:tr>
      <w:tr>
        <w:tc>
          <w:tcPr/>
          <w:p>
            <w:pPr>
              <w:pStyle w:val="Compact"/>
              <w:jc w:val="left"/>
            </w:pPr>
            <w:r>
              <w:t xml:space="preserve">PCBA</w:t>
            </w:r>
          </w:p>
        </w:tc>
        <w:tc>
          <w:tcPr/>
          <w:p>
            <w:pPr>
              <w:pStyle w:val="Compact"/>
              <w:jc w:val="left"/>
            </w:pPr>
            <w:r>
              <w:t xml:space="preserve">0.05</w:t>
            </w:r>
          </w:p>
        </w:tc>
        <w:tc>
          <w:tcPr/>
          <w:p>
            <w:pPr>
              <w:pStyle w:val="Compact"/>
              <w:jc w:val="left"/>
            </w:pPr>
            <w:r>
              <w:t xml:space="preserve">185.00</w:t>
            </w:r>
          </w:p>
        </w:tc>
        <w:tc>
          <w:tcPr/>
          <w:p>
            <w:pPr>
              <w:pStyle w:val="Compact"/>
              <w:jc w:val="left"/>
            </w:pPr>
            <w:r>
              <w:t xml:space="preserve">9.250</w:t>
            </w:r>
          </w:p>
        </w:tc>
      </w:tr>
      <w:tr>
        <w:tc>
          <w:tcPr/>
          <w:p>
            <w:pPr>
              <w:pStyle w:val="Compact"/>
              <w:jc w:val="left"/>
            </w:pPr>
            <w:r>
              <w:t xml:space="preserve">Cardboard Packaging</w:t>
            </w:r>
          </w:p>
        </w:tc>
        <w:tc>
          <w:tcPr/>
          <w:p>
            <w:pPr>
              <w:pStyle w:val="Compact"/>
              <w:jc w:val="left"/>
            </w:pPr>
            <w:r>
              <w:t xml:space="preserve">0.08</w:t>
            </w:r>
          </w:p>
        </w:tc>
        <w:tc>
          <w:tcPr/>
          <w:p>
            <w:pPr>
              <w:pStyle w:val="Compact"/>
              <w:jc w:val="left"/>
            </w:pPr>
            <w:r>
              <w:t xml:space="preserve">0.71</w:t>
            </w:r>
          </w:p>
        </w:tc>
        <w:tc>
          <w:tcPr/>
          <w:p>
            <w:pPr>
              <w:pStyle w:val="Compact"/>
              <w:jc w:val="left"/>
            </w:pPr>
            <w:r>
              <w:t xml:space="preserve">0.057</w:t>
            </w:r>
          </w:p>
        </w:tc>
      </w:tr>
      <w:tr>
        <w:tc>
          <w:tcPr>
            <w:gridSpan w:val="3"/>
          </w:tcPr>
          <w:p>
            <w:pPr>
              <w:pStyle w:val="Compact"/>
              <w:jc w:val="right"/>
            </w:pPr>
            <w:r>
              <w:rPr>
                <w:bCs/>
                <w:b/>
              </w:rPr>
              <w:t xml:space="preserve">Total Material Emissions:</w:t>
            </w:r>
          </w:p>
        </w:tc>
        <w:tc>
          <w:tcPr/>
          <w:p>
            <w:pPr>
              <w:pStyle w:val="Compact"/>
              <w:jc w:val="left"/>
            </w:pPr>
            <w:r>
              <w:rPr>
                <w:bCs/>
                <w:b/>
              </w:rPr>
              <w:t xml:space="preserve">11.514 kg CO₂e</w:t>
            </w:r>
          </w:p>
        </w:tc>
      </w:tr>
    </w:tbl>
    <w:p>
      <w:pPr>
        <w:pStyle w:val="BodyText"/>
      </w:pPr>
      <w:r>
        <w:rPr>
          <w:iCs/>
          <w:i/>
        </w:rPr>
        <w:t xml:space="preserve">Note: The high emission factor for PCBA significantly impacts this category. Data quality for complex electronics components can be highly variable and is a key area for primary data collection in the future.</w:t>
      </w:r>
    </w:p>
    <w:bookmarkEnd w:id="34"/>
    <w:bookmarkStart w:id="35" w:name="Xb5c3acafb1a5dee5ca4232d20258682408aa2af"/>
    <w:p>
      <w:pPr>
        <w:pStyle w:val="Heading4"/>
      </w:pPr>
      <w:r>
        <w:t xml:space="preserve">4.3.2. Category 4 &amp; 9: Upstream &amp; Downstream Transportation and Distribution</w:t>
      </w:r>
    </w:p>
    <w:p>
      <w:pPr>
        <w:pStyle w:val="FirstParagraph"/>
      </w:pPr>
      <w:r>
        <w:t xml:space="preserve">Emissions from the transportation of materials to the manufacturing facility and finished products to the customer. Total product mass for transport is 0.48 kg (0.00048 tonnes).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Mass (tonnes)</w:t>
            </w:r>
          </w:p>
        </w:tc>
        <w:tc>
          <w:tcPr/>
          <w:p>
            <w:pPr>
              <w:pStyle w:val="Compact"/>
              <w:jc w:val="left"/>
            </w:pPr>
            <w:r>
              <w:t xml:space="preserve">Emission Factor (kg CO₂e/tkm or /unit)</w:t>
            </w:r>
          </w:p>
        </w:tc>
        <w:tc>
          <w:tcPr/>
          <w:p>
            <w:pPr>
              <w:pStyle w:val="Compact"/>
              <w:jc w:val="left"/>
            </w:pPr>
            <w:r>
              <w:t xml:space="preserve">Emissions (kg CO₂e)</w:t>
            </w:r>
          </w:p>
        </w:tc>
      </w:tr>
      <w:tr>
        <w:tc>
          <w:tcPr/>
          <w:p>
            <w:pPr>
              <w:pStyle w:val="Compact"/>
              <w:jc w:val="left"/>
            </w:pPr>
            <w:r>
              <w:t xml:space="preserve">Inbound Materials</w:t>
            </w:r>
          </w:p>
        </w:tc>
        <w:tc>
          <w:tcPr/>
          <w:p>
            <w:pPr>
              <w:pStyle w:val="Compact"/>
              <w:jc w:val="left"/>
            </w:pPr>
            <w:r>
              <w:t xml:space="preserve">Container Ship</w:t>
            </w:r>
          </w:p>
        </w:tc>
        <w:tc>
          <w:tcPr/>
          <w:p>
            <w:pPr>
              <w:pStyle w:val="Compact"/>
              <w:jc w:val="left"/>
            </w:pPr>
            <w:r>
              <w:t xml:space="preserve">20,000</w:t>
            </w:r>
          </w:p>
        </w:tc>
        <w:tc>
          <w:tcPr/>
          <w:p>
            <w:pPr>
              <w:pStyle w:val="Compact"/>
              <w:jc w:val="left"/>
            </w:pPr>
            <w:r>
              <w:t xml:space="preserve">0.00048</w:t>
            </w:r>
          </w:p>
        </w:tc>
        <w:tc>
          <w:tcPr/>
          <w:p>
            <w:pPr>
              <w:pStyle w:val="Compact"/>
              <w:jc w:val="left"/>
            </w:pPr>
            <w:r>
              <w:t xml:space="preserve">0.016142</w:t>
            </w:r>
          </w:p>
        </w:tc>
        <w:tc>
          <w:tcPr/>
          <w:p>
            <w:pPr>
              <w:pStyle w:val="Compact"/>
              <w:jc w:val="left"/>
            </w:pPr>
            <w:r>
              <w:t xml:space="preserve">0.155</w:t>
            </w:r>
          </w:p>
        </w:tc>
      </w:tr>
      <w:tr>
        <w:tc>
          <w:tcPr/>
          <w:p>
            <w:pPr>
              <w:pStyle w:val="Compact"/>
              <w:jc w:val="left"/>
            </w:pPr>
            <w:r>
              <w:t xml:space="preserve">Outbound Product (Factory to Distribution Center)</w:t>
            </w:r>
          </w:p>
        </w:tc>
        <w:tc>
          <w:tcPr/>
          <w:p>
            <w:pPr>
              <w:pStyle w:val="Compact"/>
              <w:jc w:val="left"/>
            </w:pPr>
            <w:r>
              <w:t xml:space="preserve">Container Ship</w:t>
            </w:r>
          </w:p>
        </w:tc>
        <w:tc>
          <w:tcPr/>
          <w:p>
            <w:pPr>
              <w:pStyle w:val="Compact"/>
              <w:jc w:val="left"/>
            </w:pPr>
            <w:r>
              <w:t xml:space="preserve">15,000</w:t>
            </w:r>
          </w:p>
        </w:tc>
        <w:tc>
          <w:tcPr/>
          <w:p>
            <w:pPr>
              <w:pStyle w:val="Compact"/>
              <w:jc w:val="left"/>
            </w:pPr>
            <w:r>
              <w:t xml:space="preserve">0.00048</w:t>
            </w:r>
          </w:p>
        </w:tc>
        <w:tc>
          <w:tcPr/>
          <w:p>
            <w:pPr>
              <w:pStyle w:val="Compact"/>
              <w:jc w:val="left"/>
            </w:pPr>
            <w:r>
              <w:t xml:space="preserve">0.016142</w:t>
            </w:r>
          </w:p>
        </w:tc>
        <w:tc>
          <w:tcPr/>
          <w:p>
            <w:pPr>
              <w:pStyle w:val="Compact"/>
              <w:jc w:val="left"/>
            </w:pPr>
            <w:r>
              <w:t xml:space="preserve">0.116</w:t>
            </w:r>
          </w:p>
        </w:tc>
      </w:tr>
      <w:tr>
        <w:tc>
          <w:tcPr/>
          <w:p>
            <w:pPr>
              <w:pStyle w:val="Compact"/>
              <w:jc w:val="left"/>
            </w:pPr>
            <w:r>
              <w:t xml:space="preserve">Last-Mile Delivery (Distribution to Customer)</w:t>
            </w:r>
          </w:p>
        </w:tc>
        <w:tc>
          <w:tcPr/>
          <w:p>
            <w:pPr>
              <w:pStyle w:val="Compact"/>
              <w:jc w:val="left"/>
            </w:pPr>
            <w:r>
              <w:t xml:space="preserve">Light Commercial Van</w:t>
            </w:r>
          </w:p>
        </w:tc>
        <w:tc>
          <w:tcPr/>
          <w:p>
            <w:pPr>
              <w:pStyle w:val="Compact"/>
              <w:jc w:val="left"/>
            </w:pPr>
            <w:r>
              <w:t xml:space="preserve">100 (per unit route)</w:t>
            </w:r>
          </w:p>
        </w:tc>
        <w:tc>
          <w:tcPr/>
          <w:p>
            <w:pPr>
              <w:pStyle w:val="Compact"/>
              <w:jc w:val="left"/>
            </w:pPr>
            <w:r>
              <w:t xml:space="preserve">N/A (calculated per unit)</w:t>
            </w:r>
          </w:p>
        </w:tc>
        <w:tc>
          <w:tcPr/>
          <w:p>
            <w:pPr>
              <w:pStyle w:val="Compact"/>
              <w:jc w:val="left"/>
            </w:pPr>
            <w:r>
              <w:t xml:space="preserve">0.025 (per unit)</w:t>
            </w:r>
          </w:p>
        </w:tc>
        <w:tc>
          <w:tcPr/>
          <w:p>
            <w:pPr>
              <w:pStyle w:val="Compact"/>
              <w:jc w:val="left"/>
            </w:pPr>
            <w:r>
              <w:t xml:space="preserve">0.025</w:t>
            </w:r>
          </w:p>
        </w:tc>
      </w:tr>
      <w:tr>
        <w:tc>
          <w:tcPr>
            <w:gridSpan w:val="5"/>
          </w:tcPr>
          <w:p>
            <w:pPr>
              <w:pStyle w:val="Compact"/>
              <w:jc w:val="right"/>
            </w:pPr>
            <w:r>
              <w:rPr>
                <w:bCs/>
                <w:b/>
              </w:rPr>
              <w:t xml:space="preserve">Total Transport Emissions:</w:t>
            </w:r>
          </w:p>
        </w:tc>
        <w:tc>
          <w:tcPr/>
          <w:p>
            <w:pPr>
              <w:pStyle w:val="Compact"/>
              <w:jc w:val="left"/>
            </w:pPr>
            <w:r>
              <w:rPr>
                <w:bCs/>
                <w:b/>
              </w:rPr>
              <w:t xml:space="preserve">0.296 kg CO₂e</w:t>
            </w:r>
          </w:p>
        </w:tc>
      </w:tr>
    </w:tbl>
    <w:bookmarkEnd w:id="35"/>
    <w:bookmarkStart w:id="36" w:name="category-11-use-of-sold-products"/>
    <w:p>
      <w:pPr>
        <w:pStyle w:val="Heading4"/>
      </w:pPr>
      <w:r>
        <w:t xml:space="preserve">4.3.3. Category 11: Use of Sold Products</w:t>
      </w:r>
    </w:p>
    <w:p>
      <w:pPr>
        <w:pStyle w:val="FirstParagraph"/>
      </w:pPr>
      <w:r>
        <w:t xml:space="preserve">Emissions generated during the product\'s functional lifespan by end-users.</w:t>
      </w:r>
    </w:p>
    <w:p>
      <w:pPr>
        <w:numPr>
          <w:ilvl w:val="0"/>
          <w:numId w:val="1010"/>
        </w:numPr>
        <w:pStyle w:val="Compact"/>
      </w:pPr>
      <w:r>
        <w:t xml:space="preserve">Product Lifespan: 5 years</w:t>
      </w:r>
    </w:p>
    <w:p>
      <w:pPr>
        <w:numPr>
          <w:ilvl w:val="0"/>
          <w:numId w:val="1010"/>
        </w:numPr>
        <w:pStyle w:val="Compact"/>
      </w:pPr>
      <w:r>
        <w:t xml:space="preserve">Energy Consumption in Use: 10 kWh/year</w:t>
      </w:r>
    </w:p>
    <w:p>
      <w:pPr>
        <w:numPr>
          <w:ilvl w:val="0"/>
          <w:numId w:val="1010"/>
        </w:numPr>
        <w:pStyle w:val="Compact"/>
      </w:pPr>
      <w:r>
        <w:t xml:space="preserve">Total Energy Consumption: 5 years × 10 kWh/year = 50 kWh</w:t>
      </w:r>
    </w:p>
    <w:p>
      <w:pPr>
        <w:numPr>
          <w:ilvl w:val="0"/>
          <w:numId w:val="1010"/>
        </w:numPr>
        <w:pStyle w:val="Compact"/>
      </w:pPr>
      <w:r>
        <w:t xml:space="preserve">European Average Electricity Emission Factor: 0.25 kg CO₂e/kWh (Illustrative)</w:t>
      </w:r>
    </w:p>
    <w:p>
      <w:pPr>
        <w:numPr>
          <w:ilvl w:val="0"/>
          <w:numId w:val="1010"/>
        </w:numPr>
        <w:pStyle w:val="Compact"/>
      </w:pPr>
      <w:r>
        <w:rPr>
          <w:bCs/>
          <w:b/>
        </w:rPr>
        <w:t xml:space="preserve">Use Phase Emissions:</w:t>
      </w:r>
      <w:r>
        <w:t xml:space="preserve"> </w:t>
      </w:r>
      <w:r>
        <w:t xml:space="preserve">50 kWh × 0.25 kg CO₂e/kWh =</w:t>
      </w:r>
      <w:r>
        <w:t xml:space="preserve"> </w:t>
      </w:r>
      <w:r>
        <w:rPr>
          <w:bCs/>
          <w:b/>
        </w:rPr>
        <w:t xml:space="preserve">12.500 kg CO₂e</w:t>
      </w:r>
    </w:p>
    <w:bookmarkEnd w:id="36"/>
    <w:bookmarkStart w:id="37" w:name="X9f66eef2700632e081dfe139021cb724ffcd2c5"/>
    <w:p>
      <w:pPr>
        <w:pStyle w:val="Heading4"/>
      </w:pPr>
      <w:r>
        <w:t xml:space="preserve">4.3.4. Category 12: End-of-Life Treatment of Sold Products</w:t>
      </w:r>
    </w:p>
    <w:p>
      <w:pPr>
        <w:pStyle w:val="FirstParagraph"/>
      </w:pPr>
      <w:r>
        <w:t xml:space="preserve">Emissions and avoided emissions (credits) associated with the recycling or disposal of the product at the end of its life, supported by wgyqhezkug\'s circular/take-back programs.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Component</w:t>
            </w:r>
          </w:p>
        </w:tc>
        <w:tc>
          <w:tcPr/>
          <w:p>
            <w:pPr>
              <w:pStyle w:val="Compact"/>
              <w:jc w:val="left"/>
            </w:pPr>
            <w:r>
              <w:t xml:space="preserve">Total Mass (kg)</w:t>
            </w:r>
          </w:p>
        </w:tc>
        <w:tc>
          <w:tcPr/>
          <w:p>
            <w:pPr>
              <w:pStyle w:val="Compact"/>
              <w:jc w:val="left"/>
            </w:pPr>
            <w:r>
              <w:t xml:space="preserve">Recycled (%)</w:t>
            </w:r>
          </w:p>
        </w:tc>
        <w:tc>
          <w:tcPr/>
          <w:p>
            <w:pPr>
              <w:pStyle w:val="Compact"/>
              <w:jc w:val="left"/>
            </w:pPr>
            <w:r>
              <w:t xml:space="preserve">Recycled Mass (kg)</w:t>
            </w:r>
          </w:p>
        </w:tc>
        <w:tc>
          <w:tcPr/>
          <w:p>
            <w:pPr>
              <w:pStyle w:val="Compact"/>
              <w:jc w:val="left"/>
            </w:pPr>
            <w:r>
              <w:t xml:space="preserve">Landfilled Mass (kg)</w:t>
            </w:r>
          </w:p>
        </w:tc>
        <w:tc>
          <w:tcPr/>
          <w:p>
            <w:pPr>
              <w:pStyle w:val="Compact"/>
              <w:jc w:val="left"/>
            </w:pPr>
            <w:r>
              <w:t xml:space="preserve">EoL Scenario</w:t>
            </w:r>
          </w:p>
        </w:tc>
        <w:tc>
          <w:tcPr/>
          <w:p>
            <w:pPr>
              <w:pStyle w:val="Compact"/>
              <w:jc w:val="left"/>
            </w:pPr>
            <w:r>
              <w:t xml:space="preserve">EoL Factor (kg CO₂e/kg)</w:t>
            </w:r>
          </w:p>
        </w:tc>
        <w:tc>
          <w:tcPr/>
          <w:p>
            <w:pPr>
              <w:pStyle w:val="Compact"/>
              <w:jc w:val="left"/>
            </w:pPr>
            <w:r>
              <w:t xml:space="preserve">Emissions/Credits (kg CO₂e)</w:t>
            </w:r>
          </w:p>
        </w:tc>
      </w:tr>
      <w:tr>
        <w:tc>
          <w:tcPr/>
          <w:p>
            <w:pPr>
              <w:pStyle w:val="Compact"/>
              <w:jc w:val="left"/>
            </w:pPr>
            <w:r>
              <w:t xml:space="preserve">Aluminum Casing</w:t>
            </w:r>
          </w:p>
        </w:tc>
        <w:tc>
          <w:tcPr/>
          <w:p>
            <w:pPr>
              <w:pStyle w:val="Compact"/>
              <w:jc w:val="left"/>
            </w:pPr>
            <w:r>
              <w:t xml:space="preserve">0.20</w:t>
            </w:r>
          </w:p>
        </w:tc>
        <w:tc>
          <w:tcPr/>
          <w:p>
            <w:pPr>
              <w:pStyle w:val="Compact"/>
              <w:jc w:val="left"/>
            </w:pPr>
            <w:r>
              <w:t xml:space="preserve">75%</w:t>
            </w:r>
          </w:p>
        </w:tc>
        <w:tc>
          <w:tcPr/>
          <w:p>
            <w:pPr>
              <w:pStyle w:val="Compact"/>
              <w:jc w:val="left"/>
            </w:pPr>
            <w:r>
              <w:t xml:space="preserve">0.15</w:t>
            </w:r>
          </w:p>
        </w:tc>
        <w:tc>
          <w:tcPr/>
          <w:p>
            <w:pPr>
              <w:pStyle w:val="Compact"/>
              <w:jc w:val="left"/>
            </w:pPr>
            <w:r>
              <w:t xml:space="preserve">0.05</w:t>
            </w:r>
          </w:p>
        </w:tc>
        <w:tc>
          <w:tcPr/>
          <w:p>
            <w:pPr>
              <w:pStyle w:val="Compact"/>
              <w:jc w:val="left"/>
            </w:pPr>
            <w:r>
              <w:t xml:space="preserve">Recycling (credit)</w:t>
            </w:r>
          </w:p>
        </w:tc>
        <w:tc>
          <w:tcPr/>
          <w:p>
            <w:pPr>
              <w:pStyle w:val="Compact"/>
              <w:jc w:val="left"/>
            </w:pPr>
            <w:r>
              <w:t xml:space="preserve">-8.69</w:t>
            </w:r>
          </w:p>
        </w:tc>
        <w:tc>
          <w:tcPr/>
          <w:p>
            <w:pPr>
              <w:pStyle w:val="Compact"/>
              <w:jc w:val="left"/>
            </w:pPr>
            <w:r>
              <w:t xml:space="preserve">-1.3035</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Landfill (illustrative)</w:t>
            </w:r>
          </w:p>
        </w:tc>
        <w:tc>
          <w:tcPr/>
          <w:p>
            <w:pPr>
              <w:pStyle w:val="Compact"/>
              <w:jc w:val="left"/>
            </w:pPr>
            <w:r>
              <w:t xml:space="preserve">0.00</w:t>
            </w:r>
          </w:p>
        </w:tc>
        <w:tc>
          <w:tcPr/>
          <w:p>
            <w:pPr>
              <w:pStyle w:val="Compact"/>
              <w:jc w:val="left"/>
            </w:pPr>
            <w:r>
              <w:t xml:space="preserve">0.0000</w:t>
            </w:r>
          </w:p>
        </w:tc>
      </w:tr>
      <w:tr>
        <w:tc>
          <w:tcPr/>
          <w:p>
            <w:pPr>
              <w:pStyle w:val="Compact"/>
              <w:jc w:val="left"/>
            </w:pPr>
            <w:r>
              <w:t xml:space="preserve">ABS Plastic Housing</w:t>
            </w:r>
          </w:p>
        </w:tc>
        <w:tc>
          <w:tcPr/>
          <w:p>
            <w:pPr>
              <w:pStyle w:val="Compact"/>
              <w:jc w:val="left"/>
            </w:pPr>
            <w:r>
              <w:t xml:space="preserve">0.15</w:t>
            </w:r>
          </w:p>
        </w:tc>
        <w:tc>
          <w:tcPr/>
          <w:p>
            <w:pPr>
              <w:pStyle w:val="Compact"/>
              <w:jc w:val="left"/>
            </w:pPr>
            <w:r>
              <w:t xml:space="preserve">75%</w:t>
            </w:r>
          </w:p>
        </w:tc>
        <w:tc>
          <w:tcPr/>
          <w:p>
            <w:pPr>
              <w:pStyle w:val="Compact"/>
              <w:jc w:val="left"/>
            </w:pPr>
            <w:r>
              <w:t xml:space="preserve">0.1125</w:t>
            </w:r>
          </w:p>
        </w:tc>
        <w:tc>
          <w:tcPr/>
          <w:p>
            <w:pPr>
              <w:pStyle w:val="Compact"/>
              <w:jc w:val="left"/>
            </w:pPr>
            <w:r>
              <w:t xml:space="preserve">0.0375</w:t>
            </w:r>
          </w:p>
        </w:tc>
        <w:tc>
          <w:tcPr/>
          <w:p>
            <w:pPr>
              <w:pStyle w:val="Compact"/>
              <w:jc w:val="left"/>
            </w:pPr>
            <w:r>
              <w:t xml:space="preserve">Recycling (credit)</w:t>
            </w:r>
          </w:p>
        </w:tc>
        <w:tc>
          <w:tcPr/>
          <w:p>
            <w:pPr>
              <w:pStyle w:val="Compact"/>
              <w:jc w:val="left"/>
            </w:pPr>
            <w:r>
              <w:t xml:space="preserve">-1.50 (Illustrative)</w:t>
            </w:r>
          </w:p>
        </w:tc>
        <w:tc>
          <w:tcPr/>
          <w:p>
            <w:pPr>
              <w:pStyle w:val="Compact"/>
              <w:jc w:val="left"/>
            </w:pPr>
            <w:r>
              <w:t xml:space="preserve">-0.1688</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Landfill (illustrative)</w:t>
            </w:r>
          </w:p>
        </w:tc>
        <w:tc>
          <w:tcPr/>
          <w:p>
            <w:pPr>
              <w:pStyle w:val="Compact"/>
              <w:jc w:val="left"/>
            </w:pPr>
            <w:r>
              <w:t xml:space="preserve">3.00 (Illustrative)</w:t>
            </w:r>
          </w:p>
        </w:tc>
        <w:tc>
          <w:tcPr/>
          <w:p>
            <w:pPr>
              <w:pStyle w:val="Compact"/>
              <w:jc w:val="left"/>
            </w:pPr>
            <w:r>
              <w:t xml:space="preserve">0.1125</w:t>
            </w:r>
          </w:p>
        </w:tc>
      </w:tr>
      <w:tr>
        <w:tc>
          <w:tcPr/>
          <w:p>
            <w:pPr>
              <w:pStyle w:val="Compact"/>
              <w:jc w:val="left"/>
            </w:pPr>
            <w:r>
              <w:t xml:space="preserve">PCBA</w:t>
            </w:r>
          </w:p>
        </w:tc>
        <w:tc>
          <w:tcPr/>
          <w:p>
            <w:pPr>
              <w:pStyle w:val="Compact"/>
              <w:jc w:val="left"/>
            </w:pPr>
            <w:r>
              <w:t xml:space="preserve">0.05</w:t>
            </w:r>
          </w:p>
        </w:tc>
        <w:tc>
          <w:tcPr/>
          <w:p>
            <w:pPr>
              <w:pStyle w:val="Compact"/>
              <w:jc w:val="left"/>
            </w:pPr>
            <w:r>
              <w:t xml:space="preserve">75%</w:t>
            </w:r>
          </w:p>
        </w:tc>
        <w:tc>
          <w:tcPr/>
          <w:p>
            <w:pPr>
              <w:pStyle w:val="Compact"/>
              <w:jc w:val="left"/>
            </w:pPr>
            <w:r>
              <w:t xml:space="preserve">0.0375</w:t>
            </w:r>
          </w:p>
        </w:tc>
        <w:tc>
          <w:tcPr/>
          <w:p>
            <w:pPr>
              <w:pStyle w:val="Compact"/>
              <w:jc w:val="left"/>
            </w:pPr>
            <w:r>
              <w:t xml:space="preserve">0.0125</w:t>
            </w:r>
          </w:p>
        </w:tc>
        <w:tc>
          <w:tcPr/>
          <w:p>
            <w:pPr>
              <w:pStyle w:val="Compact"/>
              <w:jc w:val="left"/>
            </w:pPr>
            <w:r>
              <w:t xml:space="preserve">Recycling (credit)</w:t>
            </w:r>
          </w:p>
        </w:tc>
        <w:tc>
          <w:tcPr/>
          <w:p>
            <w:pPr>
              <w:pStyle w:val="Compact"/>
              <w:jc w:val="left"/>
            </w:pPr>
            <w:r>
              <w:t xml:space="preserve">-5.00 (Illustrative)</w:t>
            </w:r>
          </w:p>
        </w:tc>
        <w:tc>
          <w:tcPr/>
          <w:p>
            <w:pPr>
              <w:pStyle w:val="Compact"/>
              <w:jc w:val="left"/>
            </w:pPr>
            <w:r>
              <w:t xml:space="preserve">-0.1875</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Landfill (illustrative)</w:t>
            </w:r>
          </w:p>
        </w:tc>
        <w:tc>
          <w:tcPr/>
          <w:p>
            <w:pPr>
              <w:pStyle w:val="Compact"/>
              <w:jc w:val="left"/>
            </w:pPr>
            <w:r>
              <w:t xml:space="preserve">10.00 (Illustrative)</w:t>
            </w:r>
          </w:p>
        </w:tc>
        <w:tc>
          <w:tcPr/>
          <w:p>
            <w:pPr>
              <w:pStyle w:val="Compact"/>
              <w:jc w:val="left"/>
            </w:pPr>
            <w:r>
              <w:t xml:space="preserve">0.1250</w:t>
            </w:r>
          </w:p>
        </w:tc>
      </w:tr>
      <w:tr>
        <w:tc>
          <w:tcPr/>
          <w:p>
            <w:pPr>
              <w:pStyle w:val="Compact"/>
              <w:jc w:val="left"/>
            </w:pPr>
            <w:r>
              <w:t xml:space="preserve">Cardboard Packaging</w:t>
            </w:r>
          </w:p>
        </w:tc>
        <w:tc>
          <w:tcPr/>
          <w:p>
            <w:pPr>
              <w:pStyle w:val="Compact"/>
              <w:jc w:val="left"/>
            </w:pPr>
            <w:r>
              <w:t xml:space="preserve">0.08</w:t>
            </w:r>
          </w:p>
        </w:tc>
        <w:tc>
          <w:tcPr/>
          <w:p>
            <w:pPr>
              <w:pStyle w:val="Compact"/>
              <w:jc w:val="left"/>
            </w:pPr>
            <w:r>
              <w:t xml:space="preserve">75%</w:t>
            </w:r>
          </w:p>
        </w:tc>
        <w:tc>
          <w:tcPr/>
          <w:p>
            <w:pPr>
              <w:pStyle w:val="Compact"/>
              <w:jc w:val="left"/>
            </w:pPr>
            <w:r>
              <w:t xml:space="preserve">0.06</w:t>
            </w:r>
          </w:p>
        </w:tc>
        <w:tc>
          <w:tcPr/>
          <w:p>
            <w:pPr>
              <w:pStyle w:val="Compact"/>
              <w:jc w:val="left"/>
            </w:pPr>
            <w:r>
              <w:t xml:space="preserve">0.02</w:t>
            </w:r>
          </w:p>
        </w:tc>
        <w:tc>
          <w:tcPr/>
          <w:p>
            <w:pPr>
              <w:pStyle w:val="Compact"/>
              <w:jc w:val="left"/>
            </w:pPr>
            <w:r>
              <w:t xml:space="preserve">Recycling (net credit vs landfill)</w:t>
            </w:r>
          </w:p>
        </w:tc>
        <w:tc>
          <w:tcPr/>
          <w:p>
            <w:pPr>
              <w:pStyle w:val="Compact"/>
              <w:jc w:val="left"/>
            </w:pPr>
            <w:r>
              <w:t xml:space="preserve">-0.40</w:t>
            </w:r>
          </w:p>
        </w:tc>
        <w:tc>
          <w:tcPr/>
          <w:p>
            <w:pPr>
              <w:pStyle w:val="Compact"/>
              <w:jc w:val="left"/>
            </w:pPr>
            <w:r>
              <w:t xml:space="preserve">-0.0240</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Landfill</w:t>
            </w:r>
          </w:p>
        </w:tc>
        <w:tc>
          <w:tcPr/>
          <w:p>
            <w:pPr>
              <w:pStyle w:val="Compact"/>
              <w:jc w:val="left"/>
            </w:pPr>
            <w:r>
              <w:t xml:space="preserve">0.50</w:t>
            </w:r>
          </w:p>
        </w:tc>
        <w:tc>
          <w:tcPr/>
          <w:p>
            <w:pPr>
              <w:pStyle w:val="Compact"/>
              <w:jc w:val="left"/>
            </w:pPr>
            <w:r>
              <w:t xml:space="preserve">0.0100</w:t>
            </w:r>
          </w:p>
        </w:tc>
      </w:tr>
      <w:tr>
        <w:tc>
          <w:tcPr>
            <w:gridSpan w:val="7"/>
          </w:tcPr>
          <w:p>
            <w:pPr>
              <w:pStyle w:val="Compact"/>
              <w:jc w:val="right"/>
            </w:pPr>
            <w:r>
              <w:rPr>
                <w:bCs/>
                <w:b/>
              </w:rPr>
              <w:t xml:space="preserve">Total End-of-Life Emissions (Net Credit):</w:t>
            </w:r>
          </w:p>
        </w:tc>
        <w:tc>
          <w:tcPr/>
          <w:p>
            <w:pPr>
              <w:pStyle w:val="Compact"/>
              <w:jc w:val="left"/>
            </w:pPr>
            <w:r>
              <w:rPr>
                <w:bCs/>
                <w:b/>
              </w:rPr>
              <w:t xml:space="preserve">-1.436 kg CO₂e</w:t>
            </w:r>
          </w:p>
        </w:tc>
      </w:tr>
    </w:tbl>
    <w:p>
      <w:pPr>
        <w:pStyle w:val="BodyText"/>
      </w:pPr>
      <w:r>
        <w:rPr>
          <w:iCs/>
          <w:i/>
        </w:rPr>
        <w:t xml:space="preserve">Note: Recycling credits represent avoided emissions from virgin material production or avoided burdens compared to landfilling. The effectiveness of circular programs plays a significant role in achieving these credits.</w:t>
      </w:r>
    </w:p>
    <w:p>
      <w:r>
        <w:pict>
          <v:rect style="width:0;height:1.5pt" o:hralign="center" o:hrstd="t" o:hr="t"/>
        </w:pict>
      </w:r>
    </w:p>
    <w:bookmarkEnd w:id="37"/>
    <w:bookmarkEnd w:id="38"/>
    <w:bookmarkEnd w:id="39"/>
    <w:bookmarkStart w:id="42" w:name="Xff217a289ac481c2696d23f2ae8d68bd54dc8f9"/>
    <w:p>
      <w:pPr>
        <w:pStyle w:val="Heading2"/>
      </w:pPr>
      <w:r>
        <w:t xml:space="preserve">5. Product Carbon Footprint Summary &amp; Hotspot Analysis</w:t>
      </w:r>
    </w:p>
    <w:bookmarkStart w:id="40" w:name="total-product-carbon-footprint"/>
    <w:p>
      <w:pPr>
        <w:pStyle w:val="Heading3"/>
      </w:pPr>
      <w:r>
        <w:t xml:space="preserve">5.1. Total Product Carbon Footprint</w:t>
      </w:r>
    </w:p>
    <w:p>
      <w:pPr>
        <w:pStyle w:val="FirstParagraph"/>
      </w:pPr>
      <w:r>
        <w:t xml:space="preserve">The total cradle-to-grave Product Carbon Footprint for one functional unit of hjvtjqzgvx is: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 &amp; Category</w:t>
            </w:r>
          </w:p>
        </w:tc>
        <w:tc>
          <w:tcPr/>
          <w:p>
            <w:pPr>
              <w:pStyle w:val="Compact"/>
              <w:jc w:val="left"/>
            </w:pPr>
            <w:r>
              <w:t xml:space="preserve">Emissions (kg CO₂e)</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Electricity - Manufacturing)</w:t>
            </w:r>
          </w:p>
        </w:tc>
        <w:tc>
          <w:tcPr/>
          <w:p>
            <w:pPr>
              <w:pStyle w:val="Compact"/>
              <w:jc w:val="left"/>
            </w:pPr>
            <w:r>
              <w:t xml:space="preserve">1.154</w:t>
            </w:r>
          </w:p>
        </w:tc>
        <w:tc>
          <w:tcPr/>
          <w:p>
            <w:pPr>
              <w:pStyle w:val="Compact"/>
              <w:jc w:val="left"/>
            </w:pPr>
            <w:r>
              <w:t xml:space="preserve">4.8%</w:t>
            </w:r>
          </w:p>
        </w:tc>
      </w:tr>
      <w:tr>
        <w:tc>
          <w:tcPr/>
          <w:p>
            <w:pPr>
              <w:pStyle w:val="Compact"/>
              <w:jc w:val="left"/>
            </w:pPr>
            <w:r>
              <w:t xml:space="preserve">Scope 3, Cat 1 (Purchased Goods &amp; Services - Materials)</w:t>
            </w:r>
          </w:p>
        </w:tc>
        <w:tc>
          <w:tcPr/>
          <w:p>
            <w:pPr>
              <w:pStyle w:val="Compact"/>
              <w:jc w:val="left"/>
            </w:pPr>
            <w:r>
              <w:t xml:space="preserve">11.514</w:t>
            </w:r>
          </w:p>
        </w:tc>
        <w:tc>
          <w:tcPr/>
          <w:p>
            <w:pPr>
              <w:pStyle w:val="Compact"/>
              <w:jc w:val="left"/>
            </w:pPr>
            <w:r>
              <w:t xml:space="preserve">47.9%</w:t>
            </w:r>
          </w:p>
        </w:tc>
      </w:tr>
      <w:tr>
        <w:tc>
          <w:tcPr/>
          <w:p>
            <w:pPr>
              <w:pStyle w:val="Compact"/>
              <w:jc w:val="left"/>
            </w:pPr>
            <w:r>
              <w:t xml:space="preserve">Scope 3, Cat 4 &amp; 9 (Transportation &amp; Distribution)</w:t>
            </w:r>
          </w:p>
        </w:tc>
        <w:tc>
          <w:tcPr/>
          <w:p>
            <w:pPr>
              <w:pStyle w:val="Compact"/>
              <w:jc w:val="left"/>
            </w:pPr>
            <w:r>
              <w:t xml:space="preserve">0.296</w:t>
            </w:r>
          </w:p>
        </w:tc>
        <w:tc>
          <w:tcPr/>
          <w:p>
            <w:pPr>
              <w:pStyle w:val="Compact"/>
              <w:jc w:val="left"/>
            </w:pPr>
            <w:r>
              <w:t xml:space="preserve">1.2%</w:t>
            </w:r>
          </w:p>
        </w:tc>
      </w:tr>
      <w:tr>
        <w:tc>
          <w:tcPr/>
          <w:p>
            <w:pPr>
              <w:pStyle w:val="Compact"/>
              <w:jc w:val="left"/>
            </w:pPr>
            <w:r>
              <w:t xml:space="preserve">Scope 3, Cat 11 (Use of Sold Products)</w:t>
            </w:r>
          </w:p>
        </w:tc>
        <w:tc>
          <w:tcPr/>
          <w:p>
            <w:pPr>
              <w:pStyle w:val="Compact"/>
              <w:jc w:val="left"/>
            </w:pPr>
            <w:r>
              <w:t xml:space="preserve">12.500</w:t>
            </w:r>
          </w:p>
        </w:tc>
        <w:tc>
          <w:tcPr/>
          <w:p>
            <w:pPr>
              <w:pStyle w:val="Compact"/>
              <w:jc w:val="left"/>
            </w:pPr>
            <w:r>
              <w:t xml:space="preserve">52.0%</w:t>
            </w:r>
          </w:p>
        </w:tc>
      </w:tr>
      <w:tr>
        <w:tc>
          <w:tcPr/>
          <w:p>
            <w:pPr>
              <w:pStyle w:val="Compact"/>
              <w:jc w:val="left"/>
            </w:pPr>
            <w:r>
              <w:t xml:space="preserve">Scope 3, Cat 12 (End-of-Life Treatment of Sold Products)</w:t>
            </w:r>
          </w:p>
        </w:tc>
        <w:tc>
          <w:tcPr/>
          <w:p>
            <w:pPr>
              <w:pStyle w:val="Compact"/>
              <w:jc w:val="left"/>
            </w:pPr>
            <w:r>
              <w:t xml:space="preserve">-1.436</w:t>
            </w:r>
          </w:p>
        </w:tc>
        <w:tc>
          <w:tcPr/>
          <w:p>
            <w:pPr>
              <w:pStyle w:val="Compact"/>
              <w:jc w:val="left"/>
            </w:pPr>
            <w:r>
              <w:t xml:space="preserve">-6.0%</w:t>
            </w:r>
          </w:p>
        </w:tc>
      </w:tr>
      <w:tr>
        <w:tc>
          <w:tcPr/>
          <w:p>
            <w:pPr>
              <w:pStyle w:val="Compact"/>
              <w:jc w:val="right"/>
            </w:pPr>
            <w:r>
              <w:rPr>
                <w:bCs/>
                <w:b/>
              </w:rPr>
              <w:t xml:space="preserve">TOTAL PRODUCT CARBON FOOTPRINT (Cradle-to-Grave):</w:t>
            </w:r>
          </w:p>
        </w:tc>
        <w:tc>
          <w:tcPr/>
          <w:p>
            <w:pPr>
              <w:pStyle w:val="Compact"/>
              <w:jc w:val="left"/>
            </w:pPr>
            <w:r>
              <w:rPr>
                <w:bCs/>
                <w:b/>
              </w:rPr>
              <w:t xml:space="preserve">24.028 kg CO₂e</w:t>
            </w:r>
          </w:p>
        </w:tc>
        <w:tc>
          <w:tcPr/>
          <w:p>
            <w:pPr>
              <w:pStyle w:val="Compact"/>
              <w:jc w:val="left"/>
            </w:pPr>
            <w:r>
              <w:rPr>
                <w:bCs/>
                <w:b/>
              </w:rPr>
              <w:t xml:space="preserve">100.0%</w:t>
            </w:r>
          </w:p>
        </w:tc>
      </w:tr>
    </w:tbl>
    <w:bookmarkEnd w:id="40"/>
    <w:bookmarkStart w:id="41" w:name="emission-hotspots-and-reliability"/>
    <w:p>
      <w:pPr>
        <w:pStyle w:val="Heading3"/>
      </w:pPr>
      <w:r>
        <w:t xml:space="preserve">5.2. Emission Hotspots and Reliability</w:t>
      </w:r>
    </w:p>
    <w:p>
      <w:pPr>
        <w:pStyle w:val="FirstParagraph"/>
      </w:pPr>
      <w:r>
        <w:t xml:space="preserve">The analysis reveals key hotspots in the lifecycle of hjvtjqzgvx:</w:t>
      </w:r>
    </w:p>
    <w:p>
      <w:pPr>
        <w:numPr>
          <w:ilvl w:val="0"/>
          <w:numId w:val="1011"/>
        </w:numPr>
        <w:pStyle w:val="Compact"/>
      </w:pPr>
      <w:r>
        <w:rPr>
          <w:bCs/>
          <w:b/>
        </w:rPr>
        <w:t xml:space="preserve">Use Phase (52.0%):</w:t>
      </w:r>
      <w:r>
        <w:t xml:space="preserve"> </w:t>
      </w:r>
      <w:r>
        <w:t xml:space="preserve">This is the most significant contributor, primarily due to the product\'s energy consumption over its 5-year lifespan. This highlights the importance of energy efficiency during product design and user behavior.</w:t>
      </w:r>
    </w:p>
    <w:p>
      <w:pPr>
        <w:numPr>
          <w:ilvl w:val="0"/>
          <w:numId w:val="1011"/>
        </w:numPr>
        <w:pStyle w:val="Compact"/>
      </w:pPr>
      <w:r>
        <w:rPr>
          <w:bCs/>
          <w:b/>
        </w:rPr>
        <w:t xml:space="preserve">Material Acquisition (47.9%):</w:t>
      </w:r>
      <w:r>
        <w:t xml:space="preserve"> </w:t>
      </w:r>
      <w:r>
        <w:t xml:space="preserve">Emissions from purchased goods and services, particularly the Printed Circuit Board Assembly (PCBA), represent a substantial portion. The emission factor for PCBA used is high, reflecting the complex manufacturing and material intensity of electronic components. This category is highly sensitive to supplier-specific data.</w:t>
      </w:r>
    </w:p>
    <w:p>
      <w:pPr>
        <w:numPr>
          <w:ilvl w:val="0"/>
          <w:numId w:val="1011"/>
        </w:numPr>
        <w:pStyle w:val="Compact"/>
      </w:pPr>
      <w:r>
        <w:rPr>
          <w:bCs/>
          <w:b/>
        </w:rPr>
        <w:t xml:space="preserve">Manufacturing (4.8%):</w:t>
      </w:r>
      <w:r>
        <w:t xml:space="preserve"> </w:t>
      </w:r>
      <w:r>
        <w:t xml:space="preserve">While not the largest, the manufacturing energy footprint is notable. The 60% renewable energy usage significantly mitigates what could be higher emissions in a China-based production facility. Further increasing renewable energy sourcing or improving energy efficiency would reduce this impact.</w:t>
      </w:r>
    </w:p>
    <w:p>
      <w:pPr>
        <w:numPr>
          <w:ilvl w:val="0"/>
          <w:numId w:val="1011"/>
        </w:numPr>
        <w:pStyle w:val="Compact"/>
      </w:pPr>
      <w:r>
        <w:rPr>
          <w:bCs/>
          <w:b/>
        </w:rPr>
        <w:t xml:space="preserve">Transportation (1.2%):</w:t>
      </w:r>
      <w:r>
        <w:t xml:space="preserve"> </w:t>
      </w:r>
      <w:r>
        <w:t xml:space="preserve">Logistics emissions are relatively low, indicating efficient modes (sea freight) for long distances. Last-mile delivery, though a smaller percentage, is often a focus area for optimization.</w:t>
      </w:r>
    </w:p>
    <w:p>
      <w:pPr>
        <w:numPr>
          <w:ilvl w:val="0"/>
          <w:numId w:val="1011"/>
        </w:numPr>
        <w:pStyle w:val="Compact"/>
      </w:pPr>
      <w:r>
        <w:rPr>
          <w:bCs/>
          <w:b/>
        </w:rPr>
        <w:t xml:space="preserve">End-of-Life (-6.0%):</w:t>
      </w:r>
      <w:r>
        <w:t xml:space="preserve"> </w:t>
      </w:r>
      <w:r>
        <w:t xml:space="preserve">The robust recyclability and circular programs result in a net carbon credit, underscoring the positive impact of designing for circularity and effective material recovery.</w:t>
      </w:r>
    </w:p>
    <w:p>
      <w:pPr>
        <w:pStyle w:val="FirstParagraph"/>
      </w:pPr>
      <w:r>
        <w:t xml:space="preserve">The reliability of this report is good for illustrating the methodology and identifying general hotspots. However, specific values are based on illustrative data and industry average emission factors where primary data was not available (e.g., for specific material inputs, manufacturing processes, or exact transport modes/distances beyond general parameters). Moving forward, collecting primary data directly from suppliers and operations will significantly enhance the accuracy and robustness of future PCF assessments, aligning with 2026 GHG Protocol requirements for data disaggregation.</w:t>
      </w:r>
    </w:p>
    <w:p>
      <w:r>
        <w:pict>
          <v:rect style="width:0;height:1.5pt" o:hralign="center" o:hrstd="t" o:hr="t"/>
        </w:pict>
      </w:r>
    </w:p>
    <w:bookmarkEnd w:id="41"/>
    <w:bookmarkEnd w:id="42"/>
    <w:bookmarkStart w:id="43" w:name="review-recommendations"/>
    <w:p>
      <w:pPr>
        <w:pStyle w:val="Heading2"/>
      </w:pPr>
      <w:r>
        <w:t xml:space="preserve">6. Review &amp; Recommendations</w:t>
      </w:r>
    </w:p>
    <w:p>
      <w:pPr>
        <w:pStyle w:val="FirstParagraph"/>
      </w:pPr>
      <w:r>
        <w:t xml:space="preserve">To further reduce the carbon footprint of hjvtjqzgvx,</w:t>
      </w:r>
      <w:r>
        <w:t xml:space="preserve"> </w:t>
      </w:r>
      <w:r>
        <w:rPr>
          <w:bCs/>
          <w:b/>
        </w:rPr>
        <w:t xml:space="preserve">wgyqhezkug</w:t>
      </w:r>
      <w:r>
        <w:t xml:space="preserve"> </w:t>
      </w:r>
      <w:r>
        <w:t xml:space="preserve">should focus on the following strategic areas:</w:t>
      </w:r>
    </w:p>
    <w:p>
      <w:pPr>
        <w:numPr>
          <w:ilvl w:val="0"/>
          <w:numId w:val="1012"/>
        </w:numPr>
        <w:pStyle w:val="Compact"/>
      </w:pPr>
      <w:r>
        <w:rPr>
          <w:bCs/>
          <w:b/>
        </w:rPr>
        <w:t xml:space="preserve">Enhance Use Phase Efficiency:</w:t>
      </w:r>
      <w:r>
        <w:t xml:space="preserve"> </w:t>
      </w:r>
      <w:r>
        <w:t xml:space="preserve">Invest in R&amp;D to reduce the product\'s energy consumption during its lifespan. This could involve more energy-efficient components, optimized software, or longer product durability to extend the benefits of initial production emissions.</w:t>
      </w:r>
    </w:p>
    <w:p>
      <w:pPr>
        <w:numPr>
          <w:ilvl w:val="0"/>
          <w:numId w:val="1012"/>
        </w:numPr>
        <w:pStyle w:val="Compact"/>
      </w:pPr>
      <w:r>
        <w:rPr>
          <w:bCs/>
          <w:b/>
        </w:rPr>
        <w:t xml:space="preserve">Supply Chain Engagement for Materials:</w:t>
      </w:r>
      <w:r>
        <w:t xml:space="preserve"> </w:t>
      </w:r>
      <w:r>
        <w:t xml:space="preserve">Work with PCBA and other high-impact material suppliers to gather primary emission data and explore lower-carbon alternatives or manufacturing processes. Prioritize suppliers committed to decarbonization.</w:t>
      </w:r>
    </w:p>
    <w:p>
      <w:pPr>
        <w:numPr>
          <w:ilvl w:val="0"/>
          <w:numId w:val="1012"/>
        </w:numPr>
        <w:pStyle w:val="Compact"/>
      </w:pPr>
      <w:r>
        <w:rPr>
          <w:bCs/>
          <w:b/>
        </w:rPr>
        <w:t xml:space="preserve">Increase Renewable Energy in Manufacturing:</w:t>
      </w:r>
      <w:r>
        <w:t xml:space="preserve"> </w:t>
      </w:r>
      <w:r>
        <w:t xml:space="preserve">Continue to increase the percentage of renewable energy used in production facilities beyond 60% to further reduce Scope 2 emissions.</w:t>
      </w:r>
    </w:p>
    <w:p>
      <w:pPr>
        <w:numPr>
          <w:ilvl w:val="0"/>
          <w:numId w:val="1012"/>
        </w:numPr>
        <w:pStyle w:val="Compact"/>
      </w:pPr>
      <w:r>
        <w:rPr>
          <w:bCs/>
          <w:b/>
        </w:rPr>
        <w:t xml:space="preserve">Strengthen Circularity:</w:t>
      </w:r>
      <w:r>
        <w:t xml:space="preserve"> </w:t>
      </w:r>
      <w:r>
        <w:t xml:space="preserve">Leverage the existing take-back programs to maximize material recovery and explore opportunities for component reuse or refurbishment, extending product utility.</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hjvtjqzgvx</dc:title>
  <dc:creator/>
  <dc:description>Detailed Product Carbon Footprint (PCF) analysis report for hjvtjqzgvx by dsyuteudsi, a Senior Sustainability Consultant, adhering to GHG Protocol standards and 2026 updates.</dc:description>
  <dc:language>en</dc:language>
  <cp:keywords/>
  <dcterms:created xsi:type="dcterms:W3CDTF">2026-07-15T09:32:51Z</dcterms:created>
  <dcterms:modified xsi:type="dcterms:W3CDTF">2026-07-15T09:32:51Z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