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High-Performance</w:t>
      </w:r>
      <w:r>
        <w:t xml:space="preserve"> </w:t>
      </w:r>
      <w:r>
        <w:t xml:space="preserve">Electronic</w:t>
      </w:r>
      <w:r>
        <w:t xml:space="preserve"> </w:t>
      </w:r>
      <w:r>
        <w:t xml:space="preserve">Device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xtukruvkvk (High-Performance Electronic Device)</w:t>
      </w:r>
    </w:p>
    <w:p>
      <w:pPr>
        <w:pStyle w:val="BodyText"/>
      </w:pPr>
      <w:r>
        <w:rPr>
          <w:bCs/>
          <w:b/>
        </w:rPr>
        <w:t xml:space="preserve">Company Name:</w:t>
      </w:r>
      <w:r>
        <w:t xml:space="preserve"> </w:t>
      </w:r>
      <w:r>
        <w:t xml:space="preserve">qofunnvmzl (GlobalTech Innovations)</w:t>
      </w:r>
    </w:p>
    <w:p>
      <w:pPr>
        <w:pStyle w:val="BodyText"/>
      </w:pPr>
      <w:r>
        <w:rPr>
          <w:bCs/>
          <w:b/>
        </w:rPr>
        <w:t xml:space="preserve">Senior Sustainability Consultant:</w:t>
      </w:r>
      <w:r>
        <w:t xml:space="preserve"> </w:t>
      </w:r>
      <w:r>
        <w:t xml:space="preserve">iviwydwxil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Assumptions have been made for certain placeholder values and generic emission factors are used where primary data was not available.</w:t>
      </w:r>
    </w:p>
    <w:bookmarkEnd w:id="20"/>
    <w:bookmarkStart w:id="43" w:name="Xdc3b75504b73d9558a57df2ae1f9ec1b3f65877"/>
    <w:p>
      <w:pPr>
        <w:pStyle w:val="Heading1"/>
      </w:pPr>
      <w:r>
        <w:t xml:space="preserve">Product Carbon Footprint Report: High-Performance Electronic Device</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"xtukruvkvk" High-Performance Electronic Device manufactured by qofunnvmzl (GlobalTech Innovations). The analysis was conducted by Senior Sustainability Consultant iviwydwxil, adhering to the Greenhouse Gas (GHG) Protocol standards, including the latest 2026 updates for Scope 3 emissions and the Land Sector and Removals (LSR) Standard. The functional unit for this study is 1.0 unit of the High-Performance Electronic Device. The system boundary adopted is Cradle-to-Grave, encompassing material acquisition, manufacturing, transportation, product use, and end-of-life treatment, with a specific focus on the factory gate for core production. The geographic scope considers final production in China and a supply chain focus on Europe.</w:t>
      </w:r>
    </w:p>
    <w:p>
      <w:pPr>
        <w:pStyle w:val="BodyText"/>
      </w:pPr>
      <w:r>
        <w:t xml:space="preserve">The total carbon footprint for one unit of the xtukruvkvk High-Performance Electronic Device is calculated to be</w:t>
      </w:r>
      <w:r>
        <w:t xml:space="preserve"> </w:t>
      </w:r>
      <w:r>
        <w:rPr>
          <w:bCs/>
          <w:b/>
        </w:rPr>
        <w:t xml:space="preserve">48.70 kg CO2e</w:t>
      </w:r>
      <w:r>
        <w:t xml:space="preserve">. The primary hotspots identified are the Use Phase, which accounts for approximately 51.3% of the total footprint, and Material Acquisition, contributing around 39.7%. This comprehensive analysis aims to provide qofunnvmzl with actionable insights to identify emission reduction opportunities across its value chain.</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the xtukruvkvk High-Performance Electronic Device followed a systematic five-step methodology as prescribed by industry best practices and the GHG Protocol:</w:t>
      </w:r>
    </w:p>
    <w:p>
      <w:pPr>
        <w:numPr>
          <w:ilvl w:val="0"/>
          <w:numId w:val="1001"/>
        </w:numPr>
        <w:pStyle w:val="Compact"/>
      </w:pPr>
      <w:r>
        <w:rPr>
          <w:bCs/>
          <w:b/>
        </w:rPr>
        <w:t xml:space="preserve">Define Scope:</w:t>
      </w:r>
      <w:r>
        <w:t xml:space="preserve"> </w:t>
      </w:r>
      <w:r>
        <w:t xml:space="preserve">The functional unit was defined as 1.0 unit of the High-Performance Electronic Device. The overall system boundary is Cradle-to-Grave, encompassing all life cycle stages from raw material extraction to end-of-life. Within this, the direct production emissions are assessed up to the factory gate. The geographic scope covers manufacturing in China and a supply chain with a European focus for distribution and use. Allocation was performed based on mass for materials and direct energy consumption.</w:t>
      </w:r>
    </w:p>
    <w:p>
      <w:pPr>
        <w:numPr>
          <w:ilvl w:val="0"/>
          <w:numId w:val="1001"/>
        </w:numPr>
        <w:pStyle w:val="Compact"/>
      </w:pPr>
      <w:r>
        <w:rPr>
          <w:bCs/>
          <w:b/>
        </w:rPr>
        <w:t xml:space="preserve">Map Lifecycle (LCI inventory stages):</w:t>
      </w:r>
      <w:r>
        <w:t xml:space="preserve"> </w:t>
      </w:r>
      <w:r>
        <w:t xml:space="preserve">The full lifecycle of the product was mapped, including raw material extraction and processing, manufacturing, inbound and outbound logistics, product use by the consumer, and various end-of-life scenarios (recycling, disposal).</w:t>
      </w:r>
    </w:p>
    <w:p>
      <w:pPr>
        <w:numPr>
          <w:ilvl w:val="0"/>
          <w:numId w:val="1001"/>
        </w:numPr>
        <w:pStyle w:val="Compact"/>
      </w:pPr>
      <w:r>
        <w:rPr>
          <w:bCs/>
          <w:b/>
        </w:rPr>
        <w:t xml:space="preserve">Collect Data:</w:t>
      </w:r>
      <w:r>
        <w:t xml:space="preserve"> </w:t>
      </w:r>
      <w:r>
        <w:t xml:space="preserve">Both primary and secondary data were collected. Primary data included a detailed Bill of Materials (BOM), specific energy usage in manufacturing, transportation modes and distances, product lifespan, energy consumption during use, recyclability percentage, and details on circularity programs. Secondary data, consisting of industry-standard emission factors, was sourced from reputable databases like DEFRA and Ecoinvent equivalents for various activities.</w:t>
      </w:r>
    </w:p>
    <w:p>
      <w:pPr>
        <w:numPr>
          <w:ilvl w:val="0"/>
          <w:numId w:val="1001"/>
        </w:numPr>
        <w:pStyle w:val="Compact"/>
      </w:pPr>
      <w:r>
        <w:rPr>
          <w:bCs/>
          <w:b/>
        </w:rPr>
        <w:t xml:space="preserve">Calculate Emissions:</w:t>
      </w:r>
      <w:r>
        <w:t xml:space="preserve"> </w:t>
      </w:r>
      <w:r>
        <w:t xml:space="preserve">Emissions for each life cycle stage were calculated using the formula: Activity Data × Emission Factor = CO2e. These emissions were then categorized according to the GHG Protocol into Scope 1, Scope 2, and Scope 3.</w:t>
      </w:r>
    </w:p>
    <w:p>
      <w:pPr>
        <w:numPr>
          <w:ilvl w:val="0"/>
          <w:numId w:val="1001"/>
        </w:numPr>
        <w:pStyle w:val="Compact"/>
      </w:pPr>
      <w:r>
        <w:rPr>
          <w:bCs/>
          <w:b/>
        </w:rPr>
        <w:t xml:space="preserve">Review &amp; Report:</w:t>
      </w:r>
      <w:r>
        <w:t xml:space="preserve"> </w:t>
      </w:r>
      <w:r>
        <w:t xml:space="preserve">The calculated emissions were reviewed to identify major emission hotspots. The reliability of the data and assumptions was assessed, and the findings were compiled into this comprehensive report.</w:t>
      </w:r>
    </w:p>
    <w:p>
      <w:r>
        <w:pict>
          <v:rect style="width:0;height:1.5pt" o:hralign="center" o:hrstd="t" o:hr="t"/>
        </w:pict>
      </w:r>
    </w:p>
    <w:bookmarkEnd w:id="22"/>
    <w:bookmarkStart w:id="23" w:name="ghg-protocol-adherence-and-2026-updates"/>
    <w:p>
      <w:pPr>
        <w:pStyle w:val="Heading2"/>
      </w:pPr>
      <w:r>
        <w:t xml:space="preserve">GHG Protocol Adherence and 2026 Updates</w:t>
      </w:r>
    </w:p>
    <w:p>
      <w:pPr>
        <w:pStyle w:val="FirstParagraph"/>
      </w:pPr>
      <w:r>
        <w:t xml:space="preserve">This PCF analysis strictly adheres to the GHG Protocol, providing a robust and transparent accounting of greenhouse gas emissions. Emissions are categorized as follows:</w:t>
      </w:r>
    </w:p>
    <w:p>
      <w:pPr>
        <w:numPr>
          <w:ilvl w:val="0"/>
          <w:numId w:val="1002"/>
        </w:numPr>
        <w:pStyle w:val="Compact"/>
      </w:pPr>
      <w:r>
        <w:rPr>
          <w:bCs/>
          <w:b/>
        </w:rPr>
        <w:t xml:space="preserve">Scope 1 (Direct Emissions):</w:t>
      </w:r>
      <w:r>
        <w:t xml:space="preserve"> </w:t>
      </w:r>
      <w:r>
        <w:t xml:space="preserve">Emissions from sources owned or controlled by qofunnvmzl.</w:t>
      </w:r>
    </w:p>
    <w:p>
      <w:pPr>
        <w:numPr>
          <w:ilvl w:val="0"/>
          <w:numId w:val="1002"/>
        </w:numPr>
        <w:pStyle w:val="Compact"/>
      </w:pPr>
      <w:r>
        <w:rPr>
          <w:bCs/>
          <w:b/>
        </w:rPr>
        <w:t xml:space="preserve">Scope 2 (Purchased Energy Emissions):</w:t>
      </w:r>
      <w:r>
        <w:t xml:space="preserve"> </w:t>
      </w:r>
      <w:r>
        <w:t xml:space="preserve">Indirect emissions from the generation of purchased electricity, heat, or steam consumed by qofunnvmzl.</w:t>
      </w:r>
    </w:p>
    <w:p>
      <w:pPr>
        <w:numPr>
          <w:ilvl w:val="0"/>
          <w:numId w:val="1002"/>
        </w:numPr>
        <w:pStyle w:val="Compact"/>
      </w:pPr>
      <w:r>
        <w:rPr>
          <w:bCs/>
          <w:b/>
        </w:rPr>
        <w:t xml:space="preserve">Scope 3 (Value Chain Emissions):</w:t>
      </w:r>
      <w:r>
        <w:t xml:space="preserve"> </w:t>
      </w:r>
      <w:r>
        <w:t xml:space="preserve">All other indirect emissions occurring in the value chain of qofunnvmzl, both upstream and downstream. This category includes emissions from purchased goods and services, transportation, use of sold products, and end-of-life treatment of sold products.</w:t>
      </w:r>
    </w:p>
    <w:p>
      <w:pPr>
        <w:pStyle w:val="FirstParagraph"/>
      </w:pPr>
      <w:r>
        <w:t xml:space="preserve">In line with the</w:t>
      </w:r>
      <w:r>
        <w:t xml:space="preserve"> </w:t>
      </w:r>
      <w:r>
        <w:rPr>
          <w:bCs/>
          <w:b/>
        </w:rPr>
        <w:t xml:space="preserve">2026 GHG Protocol revisions</w:t>
      </w:r>
      <w:r>
        <w:t xml:space="preserve">, this report incorporates the following key advancements:</w:t>
      </w:r>
    </w:p>
    <w:p>
      <w:pPr>
        <w:numPr>
          <w:ilvl w:val="0"/>
          <w:numId w:val="1003"/>
        </w:numPr>
        <w:pStyle w:val="Compact"/>
      </w:pPr>
      <w:r>
        <w:rPr>
          <w:bCs/>
          <w:b/>
        </w:rPr>
        <w:t xml:space="preserve">Land Sector and Removals (LSR) Standard:</w:t>
      </w:r>
      <w:r>
        <w:t xml:space="preserve"> </w:t>
      </w:r>
      <w:r>
        <w:t xml:space="preserve">The LSR Standard, published in January 2026 and effective from January 1, 2027, provides a unified framework for companies to measure and report land-related GHG emissions and CO₂ removals. For the xtukruvkvk High-Performance Electronic Device, direct land-sector emissions were not a primary factor in the direct production or material sourcing based on the provided parameters. However, the standard\'s principles are acknowledged for any future detailed upstream agricultural or biogenic material assessments in the broader supply chain context.</w:t>
      </w:r>
    </w:p>
    <w:p>
      <w:pPr>
        <w:numPr>
          <w:ilvl w:val="0"/>
          <w:numId w:val="1003"/>
        </w:numPr>
        <w:pStyle w:val="Compact"/>
      </w:pPr>
      <w:r>
        <w:rPr>
          <w:bCs/>
          <w:b/>
        </w:rPr>
        <w:t xml:space="preserve">Scope 3 Compliance - 95% Coverage:</w:t>
      </w:r>
      <w:r>
        <w:t xml:space="preserve"> </w:t>
      </w:r>
      <w:r>
        <w:t xml:space="preserve">The 2026 updates mandate a minimum 95% coverage for total relevant Scope 3 emissions to claim conformance. This analysis strives for comprehensive inclusion of all material Scope 3 categories to meet this stringent requirement.</w:t>
      </w:r>
    </w:p>
    <w:p>
      <w:pPr>
        <w:numPr>
          <w:ilvl w:val="0"/>
          <w:numId w:val="1003"/>
        </w:numPr>
        <w:pStyle w:val="Compact"/>
      </w:pPr>
      <w:r>
        <w:rPr>
          <w:bCs/>
          <w:b/>
        </w:rPr>
        <w:t xml:space="preserve">Mandatory Data Disaggregation:</w:t>
      </w:r>
      <w:r>
        <w:t xml:space="preserve"> </w:t>
      </w:r>
      <w:r>
        <w:t xml:space="preserve">The revised standard requires data to be disaggregated by source type (primary vs. secondary data). While primary data was prioritized where available (BOM, energy usage), secondary emission factors from reputable sources were used to ensure completeness.</w:t>
      </w:r>
    </w:p>
    <w:p>
      <w:r>
        <w:pict>
          <v:rect style="width:0;height:1.5pt" o:hralign="center" o:hrstd="t" o:hr="t"/>
        </w:pict>
      </w:r>
    </w:p>
    <w:bookmarkEnd w:id="23"/>
    <w:bookmarkStart w:id="42" w:name="Xead31a0cf18db2a58bbb7d28a096de84b85439c"/>
    <w:p>
      <w:pPr>
        <w:pStyle w:val="Heading2"/>
      </w:pPr>
      <w:r>
        <w:t xml:space="preserve">Product Carbon Footprint Analysis for xtukruvkvk</w:t>
      </w:r>
    </w:p>
    <w:bookmarkStart w:id="24" w:name="scope-definition"/>
    <w:p>
      <w:pPr>
        <w:pStyle w:val="Heading3"/>
      </w:pPr>
      <w:r>
        <w:t xml:space="preserve">1. Scope Definition</w:t>
      </w:r>
    </w:p>
    <w:p>
      <w:pPr>
        <w:pStyle w:val="FirstParagraph"/>
      </w:pPr>
      <w:r>
        <w:rPr>
          <w:bCs/>
          <w:b/>
        </w:rPr>
        <w:t xml:space="preserve">Product:</w:t>
      </w:r>
      <w:r>
        <w:t xml:space="preserve"> </w:t>
      </w:r>
      <w:r>
        <w:t xml:space="preserve">xtukruvkvk (High-Performance Electronic Device)</w:t>
      </w:r>
    </w:p>
    <w:p>
      <w:pPr>
        <w:pStyle w:val="BodyText"/>
      </w:pPr>
      <w:r>
        <w:rPr>
          <w:bCs/>
          <w:b/>
        </w:rPr>
        <w:t xml:space="preserve">Functional Unit:</w:t>
      </w:r>
      <w:r>
        <w:t xml:space="preserve"> </w:t>
      </w:r>
      <w:r>
        <w:t xml:space="preserve">1.0 unit of the High-Performance Electronic Device</w:t>
      </w:r>
    </w:p>
    <w:p>
      <w:pPr>
        <w:pStyle w:val="BodyText"/>
      </w:pPr>
      <w:r>
        <w:rPr>
          <w:bCs/>
          <w:b/>
        </w:rPr>
        <w:t xml:space="preserve">System Boundary:</w:t>
      </w:r>
      <w:r>
        <w:t xml:space="preserve"> </w:t>
      </w:r>
      <w:r>
        <w:t xml:space="preserve">Cradle-to-Grave. While the primary production boundary is defined as \'factory_gate\' for core manufacturing activities, the analysis extends to include downstream phases (Use Phase and End-of-Life) as requested, providing a comprehensive assessment of the product\'s environmental impact throughout its entire lifecycle.</w:t>
      </w:r>
    </w:p>
    <w:p>
      <w:pPr>
        <w:pStyle w:val="BodyText"/>
      </w:pPr>
      <w:r>
        <w:rPr>
          <w:bCs/>
          <w:b/>
        </w:rPr>
        <w:t xml:space="preserve">Geographic Scope:</w:t>
      </w:r>
      <w:r>
        <w:t xml:space="preserve"> </w:t>
      </w:r>
      <w:r>
        <w:t xml:space="preserve">Final Production Country: China, Supply Chain Focus: Europe Focused (for distribution, use, and end-of-life).</w:t>
      </w:r>
    </w:p>
    <w:p>
      <w:pPr>
        <w:pStyle w:val="BodyText"/>
      </w:pPr>
      <w:r>
        <w:rPr>
          <w:bCs/>
          <w:b/>
        </w:rPr>
        <w:t xml:space="preserve">Accounting Standard:</w:t>
      </w:r>
      <w:r>
        <w:t xml:space="preserve"> </w:t>
      </w:r>
      <w:r>
        <w:t xml:space="preserve">GHG Protocol Corporate Value Chain (Scope 3) Accounting and Reporting Standard, supplemented by the Corporate Standard and the Land Sector and Removals Standard (for contextual awareness).</w:t>
      </w:r>
    </w:p>
    <w:p>
      <w:pPr>
        <w:pStyle w:val="BodyText"/>
      </w:pPr>
      <w:r>
        <w:rPr>
          <w:bCs/>
          <w:b/>
        </w:rPr>
        <w:t xml:space="preserve">Allocation:</w:t>
      </w:r>
      <w:r>
        <w:t xml:space="preserve"> </w:t>
      </w:r>
      <w:r>
        <w:t xml:space="preserve">Emissions are directly allocated to the functional unit based on material quantities, energy consumption, and transport distances.</w:t>
      </w:r>
    </w:p>
    <w:bookmarkEnd w:id="24"/>
    <w:bookmarkStart w:id="25" w:name="lifecycle-mapping-inventory-lci-stages"/>
    <w:p>
      <w:pPr>
        <w:pStyle w:val="Heading3"/>
      </w:pPr>
      <w:r>
        <w:t xml:space="preserve">2. Lifecycle Mapping &amp; Inventory (LCI) Stages</w:t>
      </w:r>
    </w:p>
    <w:p>
      <w:pPr>
        <w:pStyle w:val="FirstParagraph"/>
      </w:pPr>
      <w:r>
        <w:t xml:space="preserve">The lifecycle of the High-Performance Electronic Device is mapped across five key stages:</w:t>
      </w:r>
    </w:p>
    <w:p>
      <w:pPr>
        <w:numPr>
          <w:ilvl w:val="0"/>
          <w:numId w:val="1004"/>
        </w:numPr>
        <w:pStyle w:val="Compact"/>
      </w:pPr>
      <w:r>
        <w:rPr>
          <w:bCs/>
          <w:b/>
        </w:rPr>
        <w:t xml:space="preserve">Material Acquisition &amp; Pre-processing:</w:t>
      </w:r>
      <w:r>
        <w:t xml:space="preserve"> </w:t>
      </w:r>
      <w:r>
        <w:t xml:space="preserve">Extraction, processing, and manufacturing of raw materials and components as per the Bill of Materials (BOM).</w:t>
      </w:r>
    </w:p>
    <w:p>
      <w:pPr>
        <w:numPr>
          <w:ilvl w:val="0"/>
          <w:numId w:val="1004"/>
        </w:numPr>
        <w:pStyle w:val="Compact"/>
      </w:pPr>
      <w:r>
        <w:rPr>
          <w:bCs/>
          <w:b/>
        </w:rPr>
        <w:t xml:space="preserve">Manufacturing (Production):</w:t>
      </w:r>
      <w:r>
        <w:t xml:space="preserve"> </w:t>
      </w:r>
      <w:r>
        <w:t xml:space="preserve">Assembly, fabrication, and other processes at qofunnvmzl\'s factory in China, including energy consumption.</w:t>
      </w:r>
    </w:p>
    <w:p>
      <w:pPr>
        <w:numPr>
          <w:ilvl w:val="0"/>
          <w:numId w:val="1004"/>
        </w:numPr>
        <w:pStyle w:val="Compact"/>
      </w:pPr>
      <w:r>
        <w:rPr>
          <w:bCs/>
          <w:b/>
        </w:rPr>
        <w:t xml:space="preserve">Transportation &amp; Distribution:</w:t>
      </w:r>
      <w:r>
        <w:t xml:space="preserve"> </w:t>
      </w:r>
      <w:r>
        <w:t xml:space="preserve">Inbound logistics of materials to the factory, and outbound logistics of the finished product to the European market, including last-mile delivery.</w:t>
      </w:r>
    </w:p>
    <w:p>
      <w:pPr>
        <w:numPr>
          <w:ilvl w:val="0"/>
          <w:numId w:val="1004"/>
        </w:numPr>
        <w:pStyle w:val="Compact"/>
      </w:pPr>
      <w:r>
        <w:rPr>
          <w:bCs/>
          <w:b/>
        </w:rPr>
        <w:t xml:space="preserve">Use Phase:</w:t>
      </w:r>
      <w:r>
        <w:t xml:space="preserve"> </w:t>
      </w:r>
      <w:r>
        <w:t xml:space="preserve">Energy consumption by the end-user over the product\'s lifespan.</w:t>
      </w:r>
    </w:p>
    <w:p>
      <w:pPr>
        <w:numPr>
          <w:ilvl w:val="0"/>
          <w:numId w:val="1004"/>
        </w:numPr>
        <w:pStyle w:val="Compact"/>
      </w:pPr>
      <w:r>
        <w:rPr>
          <w:bCs/>
          <w:b/>
        </w:rPr>
        <w:t xml:space="preserve">End-of-Life (EoL):</w:t>
      </w:r>
      <w:r>
        <w:t xml:space="preserve"> </w:t>
      </w:r>
      <w:r>
        <w:t xml:space="preserve">Recycling, disposal, and benefits/emissions associated with these processes.</w:t>
      </w:r>
    </w:p>
    <w:p>
      <w:pPr>
        <w:pStyle w:val="FirstParagraph"/>
      </w:pPr>
      <w:r>
        <w:t xml:space="preserve">A detailed breakdown of material and energy inputs is provided in the subsequent "Data Collection" section.</w:t>
      </w:r>
    </w:p>
    <w:bookmarkEnd w:id="25"/>
    <w:bookmarkStart w:id="31" w:name="data-collection"/>
    <w:p>
      <w:pPr>
        <w:pStyle w:val="Heading3"/>
      </w:pPr>
      <w:r>
        <w:t xml:space="preserve">3. Data Collection</w:t>
      </w:r>
    </w:p>
    <w:p>
      <w:pPr>
        <w:pStyle w:val="FirstParagraph"/>
      </w:pPr>
      <w:r>
        <w:t xml:space="preserve">This analysis leverages both primary data provided by qofunnvmzl and secondary, industry-standard emission factors.</w:t>
      </w:r>
    </w:p>
    <w:bookmarkStart w:id="26" w:name="detailed-bill-of-materials-bom-dmwqveyh"/>
    <w:p>
      <w:pPr>
        <w:pStyle w:val="Heading4"/>
      </w:pPr>
      <w:r>
        <w:t xml:space="preserve">Detailed Bill of Materials (BOM) (dmwqveyh)</w:t>
      </w:r>
    </w:p>
    <w:p>
      <w:pPr>
        <w:pStyle w:val="FirstParagraph"/>
      </w:pPr>
      <w:r>
        <w:t xml:space="preserve">The following detailed BOM was used to calculate the material acquisition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6</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gridSpan w:val="7"/>
          </w:tcPr>
          <w:p>
            <w:pPr>
              <w:pStyle w:val="Compact"/>
              <w:jc w:val="left"/>
            </w:pPr>
            <w:r>
              <w:t xml:space="preserve">Total Material Carbon from BOM</w:t>
            </w:r>
          </w:p>
        </w:tc>
        <w:tc>
          <w:tcPr/>
          <w:p>
            <w:pPr>
              <w:pStyle w:val="Compact"/>
              <w:jc w:val="left"/>
            </w:pPr>
            <w:r>
              <w:rPr>
                <w:bCs/>
                <w:b/>
              </w:rPr>
              <w:t xml:space="preserve">19.35</w:t>
            </w:r>
          </w:p>
        </w:tc>
      </w:tr>
    </w:tbl>
    <w:bookmarkEnd w:id="26"/>
    <w:bookmarkStart w:id="27" w:name="energy-inputs-and-customization-data"/>
    <w:p>
      <w:pPr>
        <w:pStyle w:val="Heading4"/>
      </w:pPr>
      <w:r>
        <w:t xml:space="preserve">Energy Inputs and Customization Data</w:t>
      </w:r>
    </w:p>
    <w:p>
      <w:pPr>
        <w:numPr>
          <w:ilvl w:val="0"/>
          <w:numId w:val="1005"/>
        </w:numPr>
        <w:pStyle w:val="Compact"/>
      </w:pPr>
      <w:r>
        <w:rPr>
          <w:bCs/>
          <w:b/>
        </w:rPr>
        <w:t xml:space="preserve">Production Energy Intensity (hsslexskhn):</w:t>
      </w:r>
      <w:r>
        <w:t xml:space="preserve"> </w:t>
      </w:r>
      <w:r>
        <w:t xml:space="preserve">15 kWh/unit</w:t>
      </w:r>
    </w:p>
    <w:p>
      <w:pPr>
        <w:numPr>
          <w:ilvl w:val="0"/>
          <w:numId w:val="1005"/>
        </w:numPr>
        <w:pStyle w:val="Compact"/>
      </w:pPr>
      <w:r>
        <w:rPr>
          <w:bCs/>
          <w:b/>
        </w:rPr>
        <w:t xml:space="preserve">Renewable Energy Usage (tumwerslqs):</w:t>
      </w:r>
      <w:r>
        <w:t xml:space="preserve"> </w:t>
      </w:r>
      <w:r>
        <w:t xml:space="preserve">50% of production energy</w:t>
      </w:r>
    </w:p>
    <w:p>
      <w:pPr>
        <w:numPr>
          <w:ilvl w:val="0"/>
          <w:numId w:val="1005"/>
        </w:numPr>
        <w:pStyle w:val="Compact"/>
      </w:pPr>
      <w:r>
        <w:rPr>
          <w:bCs/>
          <w:b/>
        </w:rPr>
        <w:t xml:space="preserve">Product Lifespan (djkvxqpnml):</w:t>
      </w:r>
      <w:r>
        <w:t xml:space="preserve"> </w:t>
      </w:r>
      <w:r>
        <w:t xml:space="preserve">5 years</w:t>
      </w:r>
    </w:p>
    <w:p>
      <w:pPr>
        <w:numPr>
          <w:ilvl w:val="0"/>
          <w:numId w:val="1005"/>
        </w:numPr>
        <w:pStyle w:val="Compact"/>
      </w:pPr>
      <w:r>
        <w:rPr>
          <w:bCs/>
          <w:b/>
        </w:rPr>
        <w:t xml:space="preserve">Energy Consumption in Use (toutpvxewe):</w:t>
      </w:r>
      <w:r>
        <w:t xml:space="preserve"> </w:t>
      </w:r>
      <w:r>
        <w:t xml:space="preserve">20 kWh/year (Total: 100 kWh over lifespan)</w:t>
      </w:r>
    </w:p>
    <w:bookmarkEnd w:id="27"/>
    <w:bookmarkStart w:id="28" w:name="logistics-data"/>
    <w:p>
      <w:pPr>
        <w:pStyle w:val="Heading4"/>
      </w:pPr>
      <w:r>
        <w:t xml:space="preserve">Logistics Data</w:t>
      </w:r>
    </w:p>
    <w:p>
      <w:pPr>
        <w:numPr>
          <w:ilvl w:val="0"/>
          <w:numId w:val="1006"/>
        </w:numPr>
        <w:pStyle w:val="Compact"/>
      </w:pPr>
      <w:r>
        <w:rPr>
          <w:bCs/>
          <w:b/>
        </w:rPr>
        <w:t xml:space="preserve">Assumed Product Weight:</w:t>
      </w:r>
      <w:r>
        <w:t xml:space="preserve"> </w:t>
      </w:r>
      <w:r>
        <w:t xml:space="preserve">1.0 kg (for transport calculations)</w:t>
      </w:r>
    </w:p>
    <w:p>
      <w:pPr>
        <w:numPr>
          <w:ilvl w:val="0"/>
          <w:numId w:val="1006"/>
        </w:numPr>
        <w:pStyle w:val="Compact"/>
      </w:pPr>
      <w:r>
        <w:rPr>
          <w:bCs/>
          <w:b/>
        </w:rPr>
        <w:t xml:space="preserve">Raw Material Inbound Transport (to China):</w:t>
      </w:r>
      <w:r>
        <w:t xml:space="preserve"> </w:t>
      </w:r>
      <w:r>
        <w:t xml:space="preserve">Ocean Freight (Container Ship), Distance: 20,000 km</w:t>
      </w:r>
    </w:p>
    <w:p>
      <w:pPr>
        <w:numPr>
          <w:ilvl w:val="0"/>
          <w:numId w:val="1006"/>
        </w:numPr>
        <w:pStyle w:val="Compact"/>
      </w:pPr>
      <w:r>
        <w:rPr>
          <w:bCs/>
          <w:b/>
        </w:rPr>
        <w:t xml:space="preserve">Finished Goods Outbound Transport (China to Europe):</w:t>
      </w:r>
      <w:r>
        <w:t xml:space="preserve"> </w:t>
      </w:r>
      <w:r>
        <w:t xml:space="preserve">Road Freight (HGV), Distance: 800 km</w:t>
      </w:r>
    </w:p>
    <w:p>
      <w:pPr>
        <w:numPr>
          <w:ilvl w:val="0"/>
          <w:numId w:val="1006"/>
        </w:numPr>
        <w:pStyle w:val="Compact"/>
      </w:pPr>
      <w:r>
        <w:rPr>
          <w:bCs/>
          <w:b/>
        </w:rPr>
        <w:t xml:space="preserve">Last-Mile Delivery (within Europe):</w:t>
      </w:r>
      <w:r>
        <w:t xml:space="preserve"> </w:t>
      </w:r>
      <w:r>
        <w:t xml:space="preserve">Van (Diesel), Distance: 50 km</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 (fxlqzmozrw):</w:t>
      </w:r>
      <w:r>
        <w:t xml:space="preserve"> </w:t>
      </w:r>
      <w:r>
        <w:t xml:space="preserve">70%</w:t>
      </w:r>
    </w:p>
    <w:p>
      <w:pPr>
        <w:numPr>
          <w:ilvl w:val="0"/>
          <w:numId w:val="1007"/>
        </w:numPr>
        <w:pStyle w:val="Compact"/>
      </w:pPr>
      <w:r>
        <w:rPr>
          <w:bCs/>
          <w:b/>
        </w:rPr>
        <w:t xml:space="preserve">Circular/Take-back Programs (wupermotkj):</w:t>
      </w:r>
      <w:r>
        <w:t xml:space="preserve"> </w:t>
      </w:r>
      <w:r>
        <w:t xml:space="preserve">Yes, advanced take-back and refurbishment program</w:t>
      </w:r>
    </w:p>
    <w:bookmarkEnd w:id="29"/>
    <w:bookmarkStart w:id="30" w:name="Xc1c99155131aac3ec004834cbcce3fad2301d3d"/>
    <w:p>
      <w:pPr>
        <w:pStyle w:val="Heading4"/>
      </w:pPr>
      <w:r>
        <w:t xml:space="preserve">Emission Factors (Secondary Data - Ecoinvent/DEFRA Equivalents)</w:t>
      </w:r>
    </w:p>
    <w:p>
      <w:pPr>
        <w:numPr>
          <w:ilvl w:val="0"/>
          <w:numId w:val="1008"/>
        </w:numPr>
        <w:pStyle w:val="Compact"/>
      </w:pPr>
      <w:r>
        <w:t xml:space="preserve">Electricity (China Grid Average): 0.60 kg CO2e/kWh</w:t>
      </w:r>
    </w:p>
    <w:p>
      <w:pPr>
        <w:numPr>
          <w:ilvl w:val="0"/>
          <w:numId w:val="1008"/>
        </w:numPr>
        <w:pStyle w:val="Compact"/>
      </w:pPr>
      <w:r>
        <w:t xml:space="preserve">Electricity (European Grid Average for Use Phase): 0.25 kg CO2e/kWh</w:t>
      </w:r>
    </w:p>
    <w:p>
      <w:pPr>
        <w:numPr>
          <w:ilvl w:val="0"/>
          <w:numId w:val="1008"/>
        </w:numPr>
        <w:pStyle w:val="Compact"/>
      </w:pPr>
      <w:r>
        <w:t xml:space="preserve">Ocean Freight (Container Ship): 0.016 kg CO2e/tkm</w:t>
      </w:r>
    </w:p>
    <w:p>
      <w:pPr>
        <w:numPr>
          <w:ilvl w:val="0"/>
          <w:numId w:val="1008"/>
        </w:numPr>
        <w:pStyle w:val="Compact"/>
      </w:pPr>
      <w:r>
        <w:t xml:space="preserve">Road Freight (HGV, Europe): 0.090 kg CO2e/tkm (Well-to-Wheel)</w:t>
      </w:r>
    </w:p>
    <w:p>
      <w:pPr>
        <w:numPr>
          <w:ilvl w:val="0"/>
          <w:numId w:val="1008"/>
        </w:numPr>
        <w:pStyle w:val="Compact"/>
      </w:pPr>
      <w:r>
        <w:t xml:space="preserve">Last-Mile Delivery (Van, Diesel): 0.15 kg CO2e/tkm (estimated)</w:t>
      </w:r>
    </w:p>
    <w:p>
      <w:pPr>
        <w:numPr>
          <w:ilvl w:val="0"/>
          <w:numId w:val="1008"/>
        </w:numPr>
        <w:pStyle w:val="Compact"/>
      </w:pPr>
      <w:r>
        <w:t xml:space="preserve">Recycling Benefit (Average for mixed electronic materials, avoided burden): -1.0 kg CO2e/kg (estimated, considering benefits for aluminum at -11.4 kg CO2e/kg and plastics at -1.0 to -2.7 kg CO2e/kg)</w:t>
      </w:r>
    </w:p>
    <w:p>
      <w:pPr>
        <w:numPr>
          <w:ilvl w:val="0"/>
          <w:numId w:val="1008"/>
        </w:numPr>
        <w:pStyle w:val="Compact"/>
      </w:pPr>
      <w:r>
        <w:t xml:space="preserve">Disposal (Landfill/Incineration, simplified): 0.5 kg CO2e/kg (estimated)</w:t>
      </w:r>
    </w:p>
    <w:bookmarkEnd w:id="30"/>
    <w:bookmarkEnd w:id="31"/>
    <w:bookmarkStart w:id="38" w:name="emission-calculation"/>
    <w:p>
      <w:pPr>
        <w:pStyle w:val="Heading3"/>
      </w:pPr>
      <w:r>
        <w:t xml:space="preserve">4. Emission Calculation</w:t>
      </w:r>
    </w:p>
    <w:bookmarkStart w:id="32" w:name="Xe36db52af3666b2a4a9e8d82f981659d5d95fb8"/>
    <w:p>
      <w:pPr>
        <w:pStyle w:val="Heading4"/>
      </w:pPr>
      <w:r>
        <w:t xml:space="preserve">A. Material Acquisition (Scope 3, Category 1: Purchased Goods and Services)</w:t>
      </w:r>
    </w:p>
    <w:p>
      <w:pPr>
        <w:pStyle w:val="FirstParagraph"/>
      </w:pPr>
      <w:r>
        <w:t xml:space="preserve">Based on the provided BOM, the total carbon embedded in the raw materials and components is:</w:t>
      </w:r>
    </w:p>
    <w:p>
      <w:pPr>
        <w:pStyle w:val="BodyText"/>
      </w:pPr>
      <w:r>
        <w:rPr>
          <w:bCs/>
          <w:b/>
        </w:rPr>
        <w:t xml:space="preserve">Total Material Acquisition Emissions: 19.35 kg CO2e</w:t>
      </w:r>
    </w:p>
    <w:bookmarkEnd w:id="32"/>
    <w:bookmarkStart w:id="33" w:name="X78b1f709c86bdccce146f5c63a2b4ebd110c53a"/>
    <w:p>
      <w:pPr>
        <w:pStyle w:val="Heading4"/>
      </w:pPr>
      <w:r>
        <w:t xml:space="preserve">B. Manufacturing (Scope 2: Purchased Electricity)</w:t>
      </w:r>
    </w:p>
    <w:p>
      <w:pPr>
        <w:pStyle w:val="FirstParagraph"/>
      </w:pPr>
      <w:r>
        <w:t xml:space="preserve">The manufacturing process consumes 15 kWh/unit. With 50% renewable energy usage, 7.5 kWh/unit is sourced from the grid.</w:t>
      </w:r>
    </w:p>
    <w:p>
      <w:pPr>
        <w:numPr>
          <w:ilvl w:val="0"/>
          <w:numId w:val="1009"/>
        </w:numPr>
        <w:pStyle w:val="Compact"/>
      </w:pPr>
      <w:r>
        <w:t xml:space="preserve">Non-renewable electricity: 15 kWh/unit * (1 - 0.50) = 7.5 kWh/unit</w:t>
      </w:r>
    </w:p>
    <w:p>
      <w:pPr>
        <w:numPr>
          <w:ilvl w:val="0"/>
          <w:numId w:val="1009"/>
        </w:numPr>
        <w:pStyle w:val="Compact"/>
      </w:pPr>
      <w:r>
        <w:t xml:space="preserve">Emissions from manufacturing energy: 7.5 kWh/unit * 0.60 kg CO2e/kWh = 4.50 kg CO2e</w:t>
      </w:r>
    </w:p>
    <w:p>
      <w:pPr>
        <w:pStyle w:val="FirstParagraph"/>
      </w:pPr>
      <w:r>
        <w:rPr>
          <w:bCs/>
          <w:b/>
        </w:rPr>
        <w:t xml:space="preserve">Total Manufacturing Emissions (Scope 2): 4.50 kg CO2e</w:t>
      </w:r>
    </w:p>
    <w:bookmarkEnd w:id="33"/>
    <w:bookmarkStart w:id="34" w:name="Xd17b7d6151906dd0a0ee86ac0acae6664520764"/>
    <w:p>
      <w:pPr>
        <w:pStyle w:val="Heading4"/>
      </w:pPr>
      <w:r>
        <w:t xml:space="preserve">C. Transportation &amp; Distribution (Scope 3, Categories 4 &amp; 9)</w:t>
      </w:r>
    </w:p>
    <w:p>
      <w:pPr>
        <w:pStyle w:val="FirstParagraph"/>
      </w:pPr>
      <w:r>
        <w:rPr>
          <w:bCs/>
          <w:b/>
        </w:rPr>
        <w:t xml:space="preserve">Product Weight for Transport:</w:t>
      </w:r>
      <w:r>
        <w:t xml:space="preserve"> </w:t>
      </w:r>
      <w:r>
        <w:t xml:space="preserve">1.0 kg (0.001 tonne)</w:t>
      </w:r>
    </w:p>
    <w:p>
      <w:pPr>
        <w:numPr>
          <w:ilvl w:val="0"/>
          <w:numId w:val="1010"/>
        </w:numPr>
        <w:pStyle w:val="Compact"/>
      </w:pPr>
      <w:r>
        <w:rPr>
          <w:bCs/>
          <w:b/>
        </w:rPr>
        <w:t xml:space="preserve">Inbound Logistics (Raw Materials to China - Scope 3, Category 4):</w:t>
      </w:r>
    </w:p>
    <w:p>
      <w:pPr>
        <w:numPr>
          <w:ilvl w:val="1"/>
          <w:numId w:val="1011"/>
        </w:numPr>
        <w:pStyle w:val="Compact"/>
      </w:pPr>
      <w:r>
        <w:t xml:space="preserve">Mode: Ocean Freight (Container Ship)</w:t>
      </w:r>
    </w:p>
    <w:p>
      <w:pPr>
        <w:numPr>
          <w:ilvl w:val="1"/>
          <w:numId w:val="1011"/>
        </w:numPr>
        <w:pStyle w:val="Compact"/>
      </w:pPr>
      <w:r>
        <w:t xml:space="preserve">Distance: 20,000 km</w:t>
      </w:r>
    </w:p>
    <w:p>
      <w:pPr>
        <w:numPr>
          <w:ilvl w:val="1"/>
          <w:numId w:val="1011"/>
        </w:numPr>
        <w:pStyle w:val="Compact"/>
      </w:pPr>
      <w:r>
        <w:t xml:space="preserve">Emissions: 0.001 tonne * 20,000 km * 0.016 kg CO2e/tkm = 0.32 kg CO2e</w:t>
      </w:r>
    </w:p>
    <w:p>
      <w:pPr>
        <w:numPr>
          <w:ilvl w:val="0"/>
          <w:numId w:val="1010"/>
        </w:numPr>
        <w:pStyle w:val="Compact"/>
      </w:pPr>
      <w:r>
        <w:rPr>
          <w:bCs/>
          <w:b/>
        </w:rPr>
        <w:t xml:space="preserve">Outbound Logistics (Finished Goods to Europe - Scope 3, Category 9):</w:t>
      </w:r>
    </w:p>
    <w:p>
      <w:pPr>
        <w:numPr>
          <w:ilvl w:val="1"/>
          <w:numId w:val="1012"/>
        </w:numPr>
        <w:pStyle w:val="Compact"/>
      </w:pPr>
      <w:r>
        <w:t xml:space="preserve">Mode: Road Freight (HGV)</w:t>
      </w:r>
    </w:p>
    <w:p>
      <w:pPr>
        <w:numPr>
          <w:ilvl w:val="1"/>
          <w:numId w:val="1012"/>
        </w:numPr>
        <w:pStyle w:val="Compact"/>
      </w:pPr>
      <w:r>
        <w:t xml:space="preserve">Distance: 800 km</w:t>
      </w:r>
    </w:p>
    <w:p>
      <w:pPr>
        <w:numPr>
          <w:ilvl w:val="1"/>
          <w:numId w:val="1012"/>
        </w:numPr>
        <w:pStyle w:val="Compact"/>
      </w:pPr>
      <w:r>
        <w:t xml:space="preserve">Emissions: 0.001 tonne * 800 km * 0.090 kg CO2e/tkm = 0.072 kg CO2e</w:t>
      </w:r>
    </w:p>
    <w:p>
      <w:pPr>
        <w:numPr>
          <w:ilvl w:val="0"/>
          <w:numId w:val="1010"/>
        </w:numPr>
        <w:pStyle w:val="Compact"/>
      </w:pPr>
      <w:r>
        <w:rPr>
          <w:bCs/>
          <w:b/>
        </w:rPr>
        <w:t xml:space="preserve">Last-Mile Delivery (within Europe - Scope 3, Category 9):</w:t>
      </w:r>
    </w:p>
    <w:p>
      <w:pPr>
        <w:numPr>
          <w:ilvl w:val="1"/>
          <w:numId w:val="1013"/>
        </w:numPr>
        <w:pStyle w:val="Compact"/>
      </w:pPr>
      <w:r>
        <w:t xml:space="preserve">Mode: Van (Diesel)</w:t>
      </w:r>
    </w:p>
    <w:p>
      <w:pPr>
        <w:numPr>
          <w:ilvl w:val="1"/>
          <w:numId w:val="1013"/>
        </w:numPr>
        <w:pStyle w:val="Compact"/>
      </w:pPr>
      <w:r>
        <w:t xml:space="preserve">Distance: 50 km</w:t>
      </w:r>
    </w:p>
    <w:p>
      <w:pPr>
        <w:numPr>
          <w:ilvl w:val="1"/>
          <w:numId w:val="1013"/>
        </w:numPr>
        <w:pStyle w:val="Compact"/>
      </w:pPr>
      <w:r>
        <w:t xml:space="preserve">Emissions: 0.001 tonne * 50 km * 0.15 kg CO2e/tkm = 0.0075 kg CO2e</w:t>
      </w:r>
    </w:p>
    <w:p>
      <w:pPr>
        <w:pStyle w:val="FirstParagraph"/>
      </w:pPr>
      <w:r>
        <w:rPr>
          <w:bCs/>
          <w:b/>
        </w:rPr>
        <w:t xml:space="preserve">Total Transportation Emissions: 0.32 + 0.072 + 0.0075 = 0.3995 kg CO2e</w:t>
      </w:r>
    </w:p>
    <w:bookmarkEnd w:id="34"/>
    <w:bookmarkStart w:id="35" w:name="Xa766405037aeee662637ff5823545ad106063b8"/>
    <w:p>
      <w:pPr>
        <w:pStyle w:val="Heading4"/>
      </w:pPr>
      <w:r>
        <w:t xml:space="preserve">D. Use Phase (Scope 3, Category 11: Use of Sold Products)</w:t>
      </w:r>
    </w:p>
    <w:p>
      <w:pPr>
        <w:pStyle w:val="FirstParagraph"/>
      </w:pPr>
      <w:r>
        <w:t xml:space="preserve">The product consumes 20 kWh/year over a 5-year lifespan in Europe.</w:t>
      </w:r>
    </w:p>
    <w:p>
      <w:pPr>
        <w:numPr>
          <w:ilvl w:val="0"/>
          <w:numId w:val="1014"/>
        </w:numPr>
        <w:pStyle w:val="Compact"/>
      </w:pPr>
      <w:r>
        <w:t xml:space="preserve">Total energy consumption: 20 kWh/year * 5 years = 100 kWh</w:t>
      </w:r>
    </w:p>
    <w:p>
      <w:pPr>
        <w:numPr>
          <w:ilvl w:val="0"/>
          <w:numId w:val="1014"/>
        </w:numPr>
        <w:pStyle w:val="Compact"/>
      </w:pPr>
      <w:r>
        <w:t xml:space="preserve">Emissions from use phase: 100 kWh * 0.25 kg CO2e/kWh = 25.0 kg CO2e</w:t>
      </w:r>
    </w:p>
    <w:p>
      <w:pPr>
        <w:pStyle w:val="FirstParagraph"/>
      </w:pPr>
      <w:r>
        <w:rPr>
          <w:bCs/>
          <w:b/>
        </w:rPr>
        <w:t xml:space="preserve">Total Use Phase Emissions: 25.0 kg CO2e</w:t>
      </w:r>
    </w:p>
    <w:bookmarkEnd w:id="35"/>
    <w:bookmarkStart w:id="36" w:name="X04c46a8720c1ebd18cd9a1f06bf7540b94d2782"/>
    <w:p>
      <w:pPr>
        <w:pStyle w:val="Heading4"/>
      </w:pPr>
      <w:r>
        <w:t xml:space="preserve">E. End-of-Life (EoL) (Scope 3, Category 12: End-of-Life Treatment of Sold Products)</w:t>
      </w:r>
    </w:p>
    <w:p>
      <w:pPr>
        <w:pStyle w:val="FirstParagraph"/>
      </w:pPr>
      <w:r>
        <w:t xml:space="preserve">With a 70% recyclability percentage and the existence of a take-back program:</w:t>
      </w:r>
    </w:p>
    <w:p>
      <w:pPr>
        <w:numPr>
          <w:ilvl w:val="0"/>
          <w:numId w:val="1015"/>
        </w:numPr>
        <w:pStyle w:val="Compact"/>
      </w:pPr>
      <w:r>
        <w:t xml:space="preserve">Recycled portion: 1.0 kg * 70% = 0.7 kg</w:t>
      </w:r>
    </w:p>
    <w:p>
      <w:pPr>
        <w:numPr>
          <w:ilvl w:val="0"/>
          <w:numId w:val="1015"/>
        </w:numPr>
        <w:pStyle w:val="Compact"/>
      </w:pPr>
      <w:r>
        <w:t xml:space="preserve">Disposed portion: 1.0 kg * 30% = 0.3 kg</w:t>
      </w:r>
    </w:p>
    <w:p>
      <w:pPr>
        <w:numPr>
          <w:ilvl w:val="0"/>
          <w:numId w:val="1015"/>
        </w:numPr>
        <w:pStyle w:val="Compact"/>
      </w:pPr>
      <w:r>
        <w:t xml:space="preserve">Recycling benefit (avoided burden): 0.7 kg * (-1.0 kg CO2e/kg) = -0.7 kg CO2e</w:t>
      </w:r>
    </w:p>
    <w:p>
      <w:pPr>
        <w:numPr>
          <w:ilvl w:val="0"/>
          <w:numId w:val="1015"/>
        </w:numPr>
        <w:pStyle w:val="Compact"/>
      </w:pPr>
      <w:r>
        <w:t xml:space="preserve">Disposal emissions (landfill/incineration): 0.3 kg * 0.5 kg CO2e/kg = 0.15 kg CO2e</w:t>
      </w:r>
    </w:p>
    <w:p>
      <w:pPr>
        <w:pStyle w:val="FirstParagraph"/>
      </w:pPr>
      <w:r>
        <w:rPr>
          <w:bCs/>
          <w:b/>
        </w:rPr>
        <w:t xml:space="preserve">Net End-of-Life Emissions: -0.7 + 0.15 = -0.55 kg CO2e</w:t>
      </w:r>
    </w:p>
    <w:bookmarkEnd w:id="36"/>
    <w:bookmarkStart w:id="37" w:name="X27d96bc9d4833be24940da22a9b609ad91f767a"/>
    <w:p>
      <w:pPr>
        <w:pStyle w:val="Heading4"/>
      </w:pPr>
      <w:r>
        <w:t xml:space="preserve">F. Total Product Carbon Footprint (Cradle-to-Grave)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19.35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4.50</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48.70</w:t>
            </w:r>
          </w:p>
        </w:tc>
      </w:tr>
    </w:tbl>
    <w:p>
      <w:r>
        <w:pict>
          <v:rect style="width:0;height:1.5pt" o:hralign="center" o:hrstd="t" o:hr="t"/>
        </w:pict>
      </w:r>
    </w:p>
    <w:bookmarkEnd w:id="37"/>
    <w:bookmarkEnd w:id="38"/>
    <w:bookmarkStart w:id="41" w:name="review-report"/>
    <w:p>
      <w:pPr>
        <w:pStyle w:val="Heading3"/>
      </w:pPr>
      <w:r>
        <w:t xml:space="preserve">5. Review &amp; Report</w:t>
      </w:r>
    </w:p>
    <w:bookmarkStart w:id="39" w:name="emission-hotspots"/>
    <w:p>
      <w:pPr>
        <w:pStyle w:val="Heading4"/>
      </w:pPr>
      <w:r>
        <w:t xml:space="preserve">Emission Hotspots</w:t>
      </w:r>
    </w:p>
    <w:p>
      <w:pPr>
        <w:pStyle w:val="FirstParagraph"/>
      </w:pPr>
      <w:r>
        <w:t xml:space="preserve">The analysis clearly identifies the following major emission hotspots for the xtukruvkvk High-Performance Electronic Device:</w:t>
      </w:r>
    </w:p>
    <w:p>
      <w:pPr>
        <w:numPr>
          <w:ilvl w:val="0"/>
          <w:numId w:val="1016"/>
        </w:numPr>
        <w:pStyle w:val="Compact"/>
      </w:pPr>
      <w:r>
        <w:rPr>
          <w:bCs/>
          <w:b/>
        </w:rPr>
        <w:t xml:space="preserve">Use Phase (51.3%):</w:t>
      </w:r>
      <w:r>
        <w:t xml:space="preserve"> </w:t>
      </w:r>
      <w:r>
        <w:t xml:space="preserve">The significant energy consumption during the product\'s 5-year lifespan contributes the largest portion to the overall carbon footprint. This highlights the importance of energy efficiency in product design and promoting renewable energy sources for consumers.</w:t>
      </w:r>
    </w:p>
    <w:p>
      <w:pPr>
        <w:numPr>
          <w:ilvl w:val="0"/>
          <w:numId w:val="1016"/>
        </w:numPr>
        <w:pStyle w:val="Compact"/>
      </w:pPr>
      <w:r>
        <w:rPr>
          <w:bCs/>
          <w:b/>
        </w:rPr>
        <w:t xml:space="preserve">Material Acquisition (39.7%):</w:t>
      </w:r>
      <w:r>
        <w:t xml:space="preserve"> </w:t>
      </w:r>
      <w:r>
        <w:t xml:space="preserve">The extraction, processing, and manufacturing of raw materials, particularly the PCB and aluminum casing, are substantial contributors. Optimizing material selection, increasing recycled content, and working with low-carbon suppliers are critical areas for reduction.</w:t>
      </w:r>
    </w:p>
    <w:p>
      <w:pPr>
        <w:numPr>
          <w:ilvl w:val="0"/>
          <w:numId w:val="1016"/>
        </w:numPr>
        <w:pStyle w:val="Compact"/>
      </w:pPr>
      <w:r>
        <w:rPr>
          <w:bCs/>
          <w:b/>
        </w:rPr>
        <w:t xml:space="preserve">Manufacturing (9.2%):</w:t>
      </w:r>
      <w:r>
        <w:t xml:space="preserve"> </w:t>
      </w:r>
      <w:r>
        <w:t xml:space="preserve">While lower than the previous two, the energy consumed in the factory is still a notable factor. qofunnvmzl\'s 50% renewable energy usage already mitigates this impact; further transitioning to 100% renewable energy would reduce this to near zero.</w:t>
      </w:r>
    </w:p>
    <w:bookmarkEnd w:id="39"/>
    <w:bookmarkStart w:id="40" w:name="reliability-and-limitations"/>
    <w:p>
      <w:pPr>
        <w:pStyle w:val="Heading4"/>
      </w:pPr>
      <w:r>
        <w:t xml:space="preserve">Reliability and Limitations</w:t>
      </w:r>
    </w:p>
    <w:p>
      <w:pPr>
        <w:pStyle w:val="FirstParagraph"/>
      </w:pPr>
      <w:r>
        <w:t xml:space="preserve">The reliability of this PCF analysis is based on a combination of primary data provided by qofunnvmzl and robust secondary emission factors from recognized databases (e.g., DEFRA, GLEC, IEA equivalents). Key assumptions made include:</w:t>
      </w:r>
    </w:p>
    <w:p>
      <w:pPr>
        <w:numPr>
          <w:ilvl w:val="0"/>
          <w:numId w:val="1017"/>
        </w:numPr>
        <w:pStyle w:val="Compact"/>
      </w:pPr>
      <w:r>
        <w:t xml:space="preserve">Specific placeholder values (e.g., for `ppspwgemgn`, `Select Mode`, `Delivery Type`) were interpreted and assigned industry-representative data for calculation purposes.</w:t>
      </w:r>
    </w:p>
    <w:p>
      <w:pPr>
        <w:numPr>
          <w:ilvl w:val="0"/>
          <w:numId w:val="1017"/>
        </w:numPr>
        <w:pStyle w:val="Compact"/>
      </w:pPr>
      <w:r>
        <w:t xml:space="preserve">Generic emission factors were used for certain transport modes and for average grid electricity mixes in specified regions. More granular, supplier-specific data would enhance accuracy for Scope 3 emissions.</w:t>
      </w:r>
    </w:p>
    <w:p>
      <w:pPr>
        <w:numPr>
          <w:ilvl w:val="0"/>
          <w:numId w:val="1017"/>
        </w:numPr>
        <w:pStyle w:val="Compact"/>
      </w:pPr>
      <w:r>
        <w:t xml:space="preserve">The recycling benefits and disposal emissions for End-of-Life were based on average estimates for mixed electronic materials due to the complexity of the product\'s components.</w:t>
      </w:r>
    </w:p>
    <w:p>
      <w:pPr>
        <w:numPr>
          <w:ilvl w:val="0"/>
          <w:numId w:val="1017"/>
        </w:numPr>
        <w:pStyle w:val="Compact"/>
      </w:pPr>
      <w:r>
        <w:t xml:space="preserve">The application of the LSR Standard for this electronic device is primarily contextual, as it applies more directly to land-intensive activities not explicitly detailed in the provided parameters for this product.</w:t>
      </w:r>
    </w:p>
    <w:p>
      <w:pPr>
        <w:pStyle w:val="FirstParagraph"/>
      </w:pPr>
      <w:r>
        <w:t xml:space="preserve">Overall, this report provides a high-detail and robust estimate of the product\'s carbon footprint, suitable for internal decision-making and identifying strategic areas for decarbonization efforts. Future analyses could benefit from greater primary data collection across the supply chain.</w:t>
      </w:r>
    </w:p>
    <w:p>
      <w:r>
        <w:pict>
          <v:rect style="width:0;height:1.5pt" o:hralign="center" o:hrstd="t" o:hr="t"/>
        </w:pict>
      </w:r>
    </w:p>
    <w:p>
      <w:pPr>
        <w:pStyle w:val="FirstParagraph"/>
      </w:pPr>
      <w:r>
        <w:t xml:space="preserve">Confidential - Internal Use Only</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High-Performance Electronic Device</dc:title>
  <dc:creator/>
  <dc:description>High-detail Product Carbon Footprint (PCF) analysis for a High-Performance Electronic Device (xtukruvkvk) by Senior Sustainability Consultant iviwydwxil, adhering to GHG Protocol and 2026 updates.</dc:description>
  <dc:language>en</dc:language>
  <cp:keywords/>
  <dcterms:created xsi:type="dcterms:W3CDTF">2026-05-30T10:33:15Z</dcterms:created>
  <dcterms:modified xsi:type="dcterms:W3CDTF">2026-05-30T10:33:15Z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