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High-Efficiency</w:t>
      </w:r>
      <w:r>
        <w:t xml:space="preserve"> </w:t>
      </w:r>
      <w:r>
        <w:t xml:space="preserve">Smart</w:t>
      </w:r>
      <w:r>
        <w:t xml:space="preserve"> </w:t>
      </w:r>
      <w:r>
        <w:t xml:space="preserve">Sensor</w:t>
      </w:r>
      <w:r>
        <w:t xml:space="preserve"> </w:t>
      </w:r>
      <w:r>
        <w:t xml:space="preserve">(siukuipdlr)</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Xc5a9473e62dbf56d7924b22e20fe32157fdad4b"/>
    <w:p>
      <w:pPr>
        <w:pStyle w:val="Heading2"/>
      </w:pPr>
      <w:r>
        <w:t xml:space="preserve">For Product: siukuipdlr (High-Efficiency Smart Sensor)</w:t>
      </w:r>
    </w:p>
    <w:p>
      <w:pPr>
        <w:pStyle w:val="FirstParagraph"/>
      </w:pPr>
      <w:r>
        <w:rPr>
          <w:bCs/>
          <w:b/>
        </w:rPr>
        <w:t xml:space="preserve">Company Name:</w:t>
      </w:r>
      <w:r>
        <w:t xml:space="preserve"> </w:t>
      </w:r>
      <w:r>
        <w:t xml:space="preserve">hdxvnvkhsd (GlobalTech Solutions)</w:t>
      </w:r>
    </w:p>
    <w:p>
      <w:pPr>
        <w:pStyle w:val="BodyText"/>
      </w:pPr>
      <w:r>
        <w:rPr>
          <w:bCs/>
          <w:b/>
        </w:rPr>
        <w:t xml:space="preserve">Senior Sustainability Consultant:</w:t>
      </w:r>
      <w:r>
        <w:t xml:space="preserve"> </w:t>
      </w:r>
      <w:r>
        <w:t xml:space="preserve">kjnnrstxiv (Dr. Anya Sharma)</w:t>
      </w:r>
    </w:p>
    <w:p>
      <w:pPr>
        <w:pStyle w:val="BodyText"/>
      </w:pPr>
      <w:r>
        <w:rPr>
          <w:bCs/>
          <w:b/>
        </w:rPr>
        <w:t xml:space="preserve">Accounting Standard:</w:t>
      </w:r>
      <w:r>
        <w:t xml:space="preserve"> </w:t>
      </w:r>
      <w:r>
        <w:t xml:space="preserve">GHG Protocol (Product Standard)</w:t>
      </w:r>
    </w:p>
    <w:p>
      <w:pPr>
        <w:pStyle w:val="BodyText"/>
      </w:pPr>
      <w:r>
        <w:rPr>
          <w:iCs/>
          <w:i/>
        </w:rPr>
        <w:t xml:space="preserve">Disclaimer: This report is generated based on available data and industry standards. While efforts have been made to ensure accuracy, the actual carbon footprint may vary depending on real-time operational data and specific supply chain nuances.</w:t>
      </w:r>
    </w:p>
    <w:bookmarkEnd w:id="20"/>
    <w:bookmarkEnd w:id="21"/>
    <w:bookmarkStart w:id="22"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siukuipdlr (High-Efficiency Smart Sensor)</w:t>
      </w:r>
    </w:p>
    <w:p>
      <w:pPr>
        <w:pStyle w:val="BodyText"/>
      </w:pPr>
      <w:r>
        <w:rPr>
          <w:bCs/>
          <w:b/>
        </w:rPr>
        <w:t xml:space="preserve">Company:</w:t>
      </w:r>
      <w:r>
        <w:t xml:space="preserve"> </w:t>
      </w:r>
      <w:r>
        <w:t xml:space="preserve">hdxvnvkhsd (GlobalTech Solutions)</w:t>
      </w:r>
    </w:p>
    <w:p>
      <w:pPr>
        <w:pStyle w:val="BodyText"/>
      </w:pPr>
      <w:r>
        <w:rPr>
          <w:bCs/>
          <w:b/>
        </w:rPr>
        <w:t xml:space="preserve">Senior Sustainability Consultant:</w:t>
      </w:r>
      <w:r>
        <w:t xml:space="preserve"> </w:t>
      </w:r>
      <w:r>
        <w:t xml:space="preserve">kjnnrstxiv (Dr. Anya Sharma)</w:t>
      </w:r>
    </w:p>
    <w:p>
      <w:pPr>
        <w:pStyle w:val="BodyText"/>
      </w:pPr>
      <w:r>
        <w:rPr>
          <w:bCs/>
          <w:b/>
        </w:rPr>
        <w:t xml:space="preserve">Generated Date:</w:t>
      </w:r>
      <w:r>
        <w:t xml:space="preserve"> </w:t>
      </w:r>
      <w:r>
        <w:t xml:space="preserve">May 21,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siukuipdlr, a High-Efficiency Smart Sensor manufactured by hdxvnvkhsd (GlobalTech Solutions). The analysis adheres strictly to the GHG Protocol Product Standard, incorporating the latest 2026 Land Sector and Removals (LSR) update and aiming for at least 95% Scope 3 coverage. By mapping the product\'s lifecycle from raw material acquisition to end-of-life, this assessment identifies key emission hotspots and provides a transparent overview of the product\'s environmental impact, with a focus on a "factory_gate" system boundary for the core PCF and an extended "cradle-to-grave" analysis for a comprehensive view.</w:t>
      </w:r>
    </w:p>
    <w:p>
      <w:r>
        <w:pict>
          <v:rect style="width:0;height:1.5pt" o:hralign="center" o:hrstd="t" o:hr="t"/>
        </w:pict>
      </w:r>
    </w:p>
    <w:bookmarkEnd w:id="23"/>
    <w:bookmarkStart w:id="28" w:name="define-scope"/>
    <w:p>
      <w:pPr>
        <w:pStyle w:val="Heading2"/>
      </w:pPr>
      <w:r>
        <w:t xml:space="preserve">1. Define Scope</w:t>
      </w:r>
    </w:p>
    <w:bookmarkStart w:id="24"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siukuipdlr (High-Efficiency Smart Sensor).</w:t>
      </w:r>
    </w:p>
    <w:p>
      <w:pPr>
        <w:numPr>
          <w:ilvl w:val="0"/>
          <w:numId w:val="1001"/>
        </w:numPr>
        <w:pStyle w:val="Compact"/>
      </w:pPr>
      <w:r>
        <w:t xml:space="preserve">This unit provides specific sensing capabilities over its lifespan.</w:t>
      </w:r>
    </w:p>
    <w:bookmarkEnd w:id="24"/>
    <w:bookmarkStart w:id="25" w:name="system-boundary"/>
    <w:p>
      <w:pPr>
        <w:pStyle w:val="Heading3"/>
      </w:pPr>
      <w:r>
        <w:t xml:space="preserve">1.2 System Boundary</w:t>
      </w:r>
    </w:p>
    <w:p>
      <w:pPr>
        <w:numPr>
          <w:ilvl w:val="0"/>
          <w:numId w:val="1002"/>
        </w:numPr>
        <w:pStyle w:val="Compact"/>
      </w:pPr>
      <w:r>
        <w:rPr>
          <w:bCs/>
          <w:b/>
        </w:rPr>
        <w:t xml:space="preserve">Primary System Boundary:</w:t>
      </w:r>
      <w:r>
        <w:t xml:space="preserve"> </w:t>
      </w:r>
      <w:r>
        <w:t xml:space="preserve">factory_gate (Cradle-to-Gate). This includes raw material extraction, processing, manufacturing, and transport to the factory gate.</w:t>
      </w:r>
    </w:p>
    <w:p>
      <w:pPr>
        <w:numPr>
          <w:ilvl w:val="0"/>
          <w:numId w:val="1002"/>
        </w:numPr>
        <w:pStyle w:val="Compact"/>
      </w:pPr>
      <w:r>
        <w:rPr>
          <w:bCs/>
          <w:b/>
        </w:rPr>
        <w:t xml:space="preserve">Extended Analysis:</w:t>
      </w:r>
      <w:r>
        <w:t xml:space="preserve"> </w:t>
      </w:r>
      <w:r>
        <w:t xml:space="preserve">For a comprehensive understanding, the report also includes downstream stages: Use Phase and End-of-Life (Cradle-to-Grave). This allows for identification of full lifecycle impacts as per report requirements.</w:t>
      </w:r>
    </w:p>
    <w:bookmarkEnd w:id="25"/>
    <w:bookmarkStart w:id="26"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(indicating key material sourcing and/or initial processing often originates from Europe before final assembly in China).</w:t>
      </w:r>
    </w:p>
    <w:bookmarkEnd w:id="26"/>
    <w:bookmarkStart w:id="27" w:name="accounting-standard"/>
    <w:p>
      <w:pPr>
        <w:pStyle w:val="Heading3"/>
      </w:pPr>
      <w:r>
        <w:t xml:space="preserve">1.4 Accounting Standard</w:t>
      </w:r>
    </w:p>
    <w:p>
      <w:pPr>
        <w:numPr>
          <w:ilvl w:val="0"/>
          <w:numId w:val="1004"/>
        </w:numPr>
        <w:pStyle w:val="Compact"/>
      </w:pPr>
      <w:r>
        <w:rPr>
          <w:bCs/>
          <w:b/>
        </w:rPr>
        <w:t xml:space="preserve">Standard Applied:</w:t>
      </w:r>
      <w:r>
        <w:t xml:space="preserve"> </w:t>
      </w:r>
      <w:r>
        <w:t xml:space="preserve">GHG Protocol Product Standard. This standard provides a robust framework for quantifying and reporting product-level GHG emissions.</w:t>
      </w:r>
    </w:p>
    <w:p>
      <w:pPr>
        <w:numPr>
          <w:ilvl w:val="0"/>
          <w:numId w:val="1004"/>
        </w:numPr>
        <w:pStyle w:val="Compact"/>
      </w:pPr>
      <w:r>
        <w:rPr>
          <w:bCs/>
          <w:b/>
        </w:rPr>
        <w:t xml:space="preserve">GHG Protocol Scopes:</w:t>
      </w:r>
      <w:r>
        <w:t xml:space="preserve"> </w:t>
      </w:r>
      <w:r>
        <w:t xml:space="preserve">Emissions are categorized into Scope 1 (direct emissions), Scope 2 (indirect emissions from purchased energy), and Scope 3 (all other indirect emissions in the value chain).</w:t>
      </w:r>
    </w:p>
    <w:p>
      <w:pPr>
        <w:numPr>
          <w:ilvl w:val="0"/>
          <w:numId w:val="1004"/>
        </w:numPr>
        <w:pStyle w:val="Compact"/>
      </w:pPr>
      <w:r>
        <w:rPr>
          <w:bCs/>
          <w:b/>
        </w:rPr>
        <w:t xml:space="preserve">2026 LSR Update:</w:t>
      </w:r>
      <w:r>
        <w:t xml:space="preserve"> </w:t>
      </w:r>
      <w:r>
        <w:t xml:space="preserve">The analysis conceptually applies the Land Sector and Removals (LSR) Standard, acknowledging its importance for land use change and carbon removals, particularly relevant for bio-based materials (though less prominent for the current product\'s material mix).</w:t>
      </w:r>
    </w:p>
    <w:p>
      <w:pPr>
        <w:numPr>
          <w:ilvl w:val="0"/>
          <w:numId w:val="1004"/>
        </w:numPr>
        <w:pStyle w:val="Compact"/>
      </w:pPr>
      <w:r>
        <w:rPr>
          <w:bCs/>
          <w:b/>
        </w:rPr>
        <w:t xml:space="preserve">Scope 3 Compliance:</w:t>
      </w:r>
      <w:r>
        <w:t xml:space="preserve"> </w:t>
      </w:r>
      <w:r>
        <w:t xml:space="preserve">A significant effort has been made to ensure at least 95% coverage for Scope 3 reporting, aligning with the stringent 2026 requirements, utilizing detailed primary data where available and robust secondary data otherwise.</w:t>
      </w:r>
    </w:p>
    <w:p>
      <w:r>
        <w:pict>
          <v:rect style="width:0;height:1.5pt" o:hralign="center" o:hrstd="t" o:hr="t"/>
        </w:pict>
      </w:r>
    </w:p>
    <w:bookmarkEnd w:id="27"/>
    <w:bookmarkEnd w:id="28"/>
    <w:bookmarkStart w:id="36" w:name="map-lifecycle-3.-collect-data"/>
    <w:p>
      <w:pPr>
        <w:pStyle w:val="Heading2"/>
      </w:pPr>
      <w:r>
        <w:t xml:space="preserve">2. Map Lifecycle &amp; 3. Collect Data</w:t>
      </w:r>
    </w:p>
    <w:p>
      <w:pPr>
        <w:pStyle w:val="FirstParagraph"/>
      </w:pPr>
      <w:r>
        <w:t xml:space="preserve">The lifecycle of the siukuipdlr (High-Efficiency Smart Sensor) has been mapped to include the following stages, with data collected from the provided parameters and supplemented by industry averages where necessary.</w:t>
      </w:r>
    </w:p>
    <w:bookmarkStart w:id="30" w:name="Xa124a95b981c370289279a4b723120ad8e79cc2"/>
    <w:p>
      <w:pPr>
        <w:pStyle w:val="Heading3"/>
      </w:pPr>
      <w:r>
        <w:t xml:space="preserve">2.1 Materials Acquisition &amp; Pre-processing (Scope 3 - Upstream)</w:t>
      </w:r>
    </w:p>
    <w:p>
      <w:pPr>
        <w:pStyle w:val="FirstParagraph"/>
      </w:pPr>
      <w:r>
        <w:t xml:space="preserve">The Detailed Bill of Materials (BOM) for siukuipdlr (npotnydt) is critical for accurate material impact calculations. Each item\'s specific quantity, unit, and provided total carbon or emission factor are used.</w:t>
      </w:r>
    </w:p>
    <w:bookmarkStart w:id="29" w:name="Xa1ad01f41b1a3e5cc65fec385355d26e5a8025c"/>
    <w:p>
      <w:pPr>
        <w:pStyle w:val="Heading4"/>
      </w:pPr>
      <w:r>
        <w:t xml:space="preserve">Detailed Bill of Materials (BOM) - npotnydt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7.0</w:t>
            </w:r>
          </w:p>
        </w:tc>
        <w:tc>
          <w:tcPr/>
          <w:p>
            <w:pPr>
              <w:pStyle w:val="Compact"/>
              <w:jc w:val="left"/>
            </w:pPr>
            <w:r>
              <w:t xml:space="preserve">1.05</w:t>
            </w:r>
          </w:p>
        </w:tc>
      </w:tr>
      <w:tr>
        <w:tc>
          <w:tcPr/>
          <w:p>
            <w:pPr>
              <w:pStyle w:val="Compact"/>
              <w:jc w:val="left"/>
            </w:pPr>
            <w:r>
              <w:t xml:space="preserve">2</w:t>
            </w:r>
          </w:p>
        </w:tc>
        <w:tc>
          <w:tcPr/>
          <w:p>
            <w:pPr>
              <w:pStyle w:val="Compact"/>
              <w:jc w:val="left"/>
            </w:pPr>
            <w:r>
              <w:t xml:space="preserve">Sensor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Plastic Housing (Recycled)</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w:t>
            </w:r>
          </w:p>
        </w:tc>
        <w:tc>
          <w:tcPr/>
          <w:p>
            <w:pPr>
              <w:pStyle w:val="Compact"/>
              <w:jc w:val="left"/>
            </w:pPr>
            <w:r>
              <w:t xml:space="preserve">0.12</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25.0</w:t>
            </w:r>
          </w:p>
        </w:tc>
        <w:tc>
          <w:tcPr/>
          <w:p>
            <w:pPr>
              <w:pStyle w:val="Compact"/>
              <w:jc w:val="left"/>
            </w:pPr>
            <w:r>
              <w:t xml:space="preserve">0.75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0.024</w:t>
            </w:r>
          </w:p>
        </w:tc>
      </w:tr>
    </w:tbl>
    <w:p>
      <w:pPr>
        <w:pStyle w:val="BodyText"/>
      </w:pPr>
      <w:r>
        <w:rPr>
          <w:iCs/>
          <w:i/>
        </w:rPr>
        <w:t xml:space="preserve">Note: Emission Factors are hypothetical for demonstration. Total Carbon values are directly used from the provided BOM.</w:t>
      </w:r>
    </w:p>
    <w:p>
      <w:pPr>
        <w:pStyle w:val="BodyText"/>
      </w:pPr>
      <w:r>
        <w:rPr>
          <w:bCs/>
          <w:b/>
        </w:rPr>
        <w:t xml:space="preserve">Total Material Mass:</w:t>
      </w:r>
      <w:r>
        <w:t xml:space="preserve"> </w:t>
      </w:r>
      <w:r>
        <w:t xml:space="preserve">(0.15 + 0.05 + 0.08 + 0.03 + 0.02) kg = 0.33 kg per unit.</w:t>
      </w:r>
    </w:p>
    <w:bookmarkEnd w:id="29"/>
    <w:bookmarkEnd w:id="30"/>
    <w:bookmarkStart w:id="31" w:name="productionmanufacturing-scope-1-2"/>
    <w:p>
      <w:pPr>
        <w:pStyle w:val="Heading3"/>
      </w:pPr>
      <w:r>
        <w:t xml:space="preserve">2.2 Production/Manufacturing (Scope 1 &amp; 2)</w:t>
      </w:r>
    </w:p>
    <w:p>
      <w:pPr>
        <w:pStyle w:val="FirstParagraph"/>
      </w:pPr>
      <w:r>
        <w:t xml:space="preserve">Emissions from the final production in China are calculated based on energy intensity and renewable energy usage.</w:t>
      </w:r>
    </w:p>
    <w:p>
      <w:pPr>
        <w:numPr>
          <w:ilvl w:val="0"/>
          <w:numId w:val="1005"/>
        </w:numPr>
        <w:pStyle w:val="Compact"/>
      </w:pPr>
      <w:r>
        <w:rPr>
          <w:bCs/>
          <w:b/>
        </w:rPr>
        <w:t xml:space="preserve">Energy Intensity (kWh/unit):</w:t>
      </w:r>
      <w:r>
        <w:t xml:space="preserve"> </w:t>
      </w:r>
      <w:r>
        <w:t xml:space="preserve">rueednfomm (0.5 kWh/unit)</w:t>
      </w:r>
    </w:p>
    <w:p>
      <w:pPr>
        <w:numPr>
          <w:ilvl w:val="0"/>
          <w:numId w:val="1005"/>
        </w:numPr>
        <w:pStyle w:val="Compact"/>
      </w:pPr>
      <w:r>
        <w:rPr>
          <w:bCs/>
          <w:b/>
        </w:rPr>
        <w:t xml:space="preserve">Renewable Energy Usage:</w:t>
      </w:r>
      <w:r>
        <w:t xml:space="preserve"> </w:t>
      </w:r>
      <w:r>
        <w:t xml:space="preserve">xdvdqojzjw (70%)</w:t>
      </w:r>
    </w:p>
    <w:p>
      <w:pPr>
        <w:numPr>
          <w:ilvl w:val="0"/>
          <w:numId w:val="1005"/>
        </w:numPr>
        <w:pStyle w:val="Compact"/>
      </w:pPr>
      <w:r>
        <w:rPr>
          <w:bCs/>
          <w:b/>
        </w:rPr>
        <w:t xml:space="preserve">Non-Renewable Energy Share:</w:t>
      </w:r>
      <w:r>
        <w:t xml:space="preserve"> </w:t>
      </w:r>
      <w:r>
        <w:t xml:space="preserve">30%</w:t>
      </w:r>
    </w:p>
    <w:p>
      <w:pPr>
        <w:numPr>
          <w:ilvl w:val="0"/>
          <w:numId w:val="1005"/>
        </w:numPr>
        <w:pStyle w:val="Compact"/>
      </w:pPr>
      <w:r>
        <w:rPr>
          <w:bCs/>
          <w:b/>
        </w:rPr>
        <w:t xml:space="preserve">Assumed Grid Emission Factor (China):</w:t>
      </w:r>
      <w:r>
        <w:t xml:space="preserve"> </w:t>
      </w:r>
      <w:r>
        <w:t xml:space="preserve">0.6 kgCO2e/kWh (for non-renewable portion)</w:t>
      </w:r>
    </w:p>
    <w:p>
      <w:pPr>
        <w:numPr>
          <w:ilvl w:val="0"/>
          <w:numId w:val="1005"/>
        </w:numPr>
        <w:pStyle w:val="Compact"/>
      </w:pPr>
      <w:r>
        <w:rPr>
          <w:bCs/>
          <w:b/>
        </w:rPr>
        <w:t xml:space="preserve">Assumed Renewable Energy Emission Factor:</w:t>
      </w:r>
      <w:r>
        <w:t xml:space="preserve"> </w:t>
      </w:r>
      <w:r>
        <w:t xml:space="preserve">0 kgCO2e/kWh (at point of use for certified renewables)</w:t>
      </w:r>
    </w:p>
    <w:bookmarkEnd w:id="31"/>
    <w:bookmarkStart w:id="33" w:name="X981923b8cb60f0edee598a5efe02199461582eb"/>
    <w:p>
      <w:pPr>
        <w:pStyle w:val="Heading3"/>
      </w:pPr>
      <w:r>
        <w:t xml:space="preserve">2.3 Transportation (Scope 3 - Upstream &amp; Downstream)</w:t>
      </w:r>
    </w:p>
    <w:p>
      <w:pPr>
        <w:pStyle w:val="FirstParagraph"/>
      </w:pPr>
      <w:r>
        <w:t xml:space="preserve">Logistics data is incorporated for supply chain analysis, focusing on both inbound materials and outbound product distribution.</w:t>
      </w:r>
    </w:p>
    <w:p>
      <w:pPr>
        <w:numPr>
          <w:ilvl w:val="0"/>
          <w:numId w:val="1006"/>
        </w:numPr>
        <w:pStyle w:val="Compact"/>
      </w:pPr>
      <w:r>
        <w:rPr>
          <w:bCs/>
          <w:b/>
        </w:rPr>
        <w:t xml:space="preserve">Transport Mode (Inbound - assumed):</w:t>
      </w:r>
      <w:r>
        <w:t xml:space="preserve"> </w:t>
      </w:r>
      <w:r>
        <w:t xml:space="preserve">Ocean Freight (Container), followed by Road Freight.</w:t>
      </w:r>
    </w:p>
    <w:p>
      <w:pPr>
        <w:numPr>
          <w:ilvl w:val="0"/>
          <w:numId w:val="1006"/>
        </w:numPr>
        <w:pStyle w:val="Compact"/>
      </w:pPr>
      <w:r>
        <w:rPr>
          <w:bCs/>
          <w:b/>
        </w:rPr>
        <w:t xml:space="preserve">Transport Distance (Inbound - assumed for Europe-China supply chain):</w:t>
      </w:r>
      <w:r>
        <w:t xml:space="preserve"> </w:t>
      </w:r>
      <w:r>
        <w:t xml:space="preserve">kexzikxhzw (12000 km Ocean, 500 km Road)</w:t>
      </w:r>
    </w:p>
    <w:p>
      <w:pPr>
        <w:numPr>
          <w:ilvl w:val="0"/>
          <w:numId w:val="1006"/>
        </w:numPr>
        <w:pStyle w:val="Compact"/>
      </w:pPr>
      <w:r>
        <w:rPr>
          <w:bCs/>
          <w:b/>
        </w:rPr>
        <w:t xml:space="preserve">Last-Mile Delivery Channel (Outbound):</w:t>
      </w:r>
      <w:r>
        <w:t xml:space="preserve"> </w:t>
      </w:r>
      <w:r>
        <w:t xml:space="preserve">Delivery Type (Standard Parcel Delivery - Road)</w:t>
      </w:r>
    </w:p>
    <w:p>
      <w:pPr>
        <w:numPr>
          <w:ilvl w:val="0"/>
          <w:numId w:val="1006"/>
        </w:numPr>
        <w:pStyle w:val="Compact"/>
      </w:pPr>
      <w:r>
        <w:rPr>
          <w:bCs/>
          <w:b/>
        </w:rPr>
        <w:t xml:space="preserve">Assumed Last-Mile Distance:</w:t>
      </w:r>
      <w:r>
        <w:t xml:space="preserve"> </w:t>
      </w:r>
      <w:r>
        <w:t xml:space="preserve">50 km</w:t>
      </w:r>
    </w:p>
    <w:bookmarkStart w:id="32" w:name="Xf21e1e6b0450b68eae26d67848475f327ee96cc"/>
    <w:p>
      <w:pPr>
        <w:pStyle w:val="Heading4"/>
      </w:pPr>
      <w:r>
        <w:t xml:space="preserve">Emission Factors for Transport (Hypothetical Industry Averages):</w:t>
      </w:r>
    </w:p>
    <w:p>
      <w:pPr>
        <w:numPr>
          <w:ilvl w:val="0"/>
          <w:numId w:val="1007"/>
        </w:numPr>
        <w:pStyle w:val="Compact"/>
      </w:pPr>
      <w:r>
        <w:rPr>
          <w:bCs/>
          <w:b/>
        </w:rPr>
        <w:t xml:space="preserve">Ocean Freight:</w:t>
      </w:r>
      <w:r>
        <w:t xml:space="preserve"> </w:t>
      </w:r>
      <w:r>
        <w:t xml:space="preserve">0.01 kgCO2e/tonne-km</w:t>
      </w:r>
    </w:p>
    <w:p>
      <w:pPr>
        <w:numPr>
          <w:ilvl w:val="0"/>
          <w:numId w:val="1007"/>
        </w:numPr>
        <w:pStyle w:val="Compact"/>
      </w:pPr>
      <w:r>
        <w:rPr>
          <w:bCs/>
          <w:b/>
        </w:rPr>
        <w:t xml:space="preserve">Road Freight (Heavy Goods Vehicle):</w:t>
      </w:r>
      <w:r>
        <w:t xml:space="preserve"> </w:t>
      </w:r>
      <w:r>
        <w:t xml:space="preserve">0.09 kgCO2e/tonne-km</w:t>
      </w:r>
    </w:p>
    <w:p>
      <w:pPr>
        <w:numPr>
          <w:ilvl w:val="0"/>
          <w:numId w:val="1007"/>
        </w:numPr>
        <w:pStyle w:val="Compact"/>
      </w:pPr>
      <w:r>
        <w:rPr>
          <w:bCs/>
          <w:b/>
        </w:rPr>
        <w:t xml:space="preserve">Standard Parcel Delivery (Road):</w:t>
      </w:r>
      <w:r>
        <w:t xml:space="preserve"> </w:t>
      </w:r>
      <w:r>
        <w:t xml:space="preserve">0.15 kgCO2e/package-km (simplified factor)</w:t>
      </w:r>
    </w:p>
    <w:bookmarkEnd w:id="32"/>
    <w:bookmarkEnd w:id="33"/>
    <w:bookmarkStart w:id="34" w:name="use-phase-scope-3---downstream"/>
    <w:p>
      <w:pPr>
        <w:pStyle w:val="Heading3"/>
      </w:pPr>
      <w:r>
        <w:t xml:space="preserve">2.4 Use Phase (Scope 3 - Downstream)</w:t>
      </w:r>
    </w:p>
    <w:p>
      <w:pPr>
        <w:pStyle w:val="FirstParagraph"/>
      </w:pPr>
      <w:r>
        <w:t xml:space="preserve">The energy consumption during the product\'s operational lifespan is a significant factor in its overall footprint.</w:t>
      </w:r>
    </w:p>
    <w:p>
      <w:pPr>
        <w:numPr>
          <w:ilvl w:val="0"/>
          <w:numId w:val="1008"/>
        </w:numPr>
        <w:pStyle w:val="Compact"/>
      </w:pPr>
      <w:r>
        <w:rPr>
          <w:bCs/>
          <w:b/>
        </w:rPr>
        <w:t xml:space="preserve">Product Lifespan:</w:t>
      </w:r>
      <w:r>
        <w:t xml:space="preserve"> </w:t>
      </w:r>
      <w:r>
        <w:t xml:space="preserve">tqmzduknqg (3 years)</w:t>
      </w:r>
    </w:p>
    <w:p>
      <w:pPr>
        <w:numPr>
          <w:ilvl w:val="0"/>
          <w:numId w:val="1008"/>
        </w:numPr>
        <w:pStyle w:val="Compact"/>
      </w:pPr>
      <w:r>
        <w:rPr>
          <w:bCs/>
          <w:b/>
        </w:rPr>
        <w:t xml:space="preserve">Energy Consumption in Use:</w:t>
      </w:r>
      <w:r>
        <w:t xml:space="preserve"> </w:t>
      </w:r>
      <w:r>
        <w:t xml:space="preserve">dksxeyzwor (0.01 kWh/day)</w:t>
      </w:r>
    </w:p>
    <w:p>
      <w:pPr>
        <w:numPr>
          <w:ilvl w:val="0"/>
          <w:numId w:val="1008"/>
        </w:numPr>
        <w:pStyle w:val="Compact"/>
      </w:pPr>
      <w:r>
        <w:rPr>
          <w:bCs/>
          <w:b/>
        </w:rPr>
        <w:t xml:space="preserve">Assumed Average User Grid Emission Factor:</w:t>
      </w:r>
      <w:r>
        <w:t xml:space="preserve"> </w:t>
      </w:r>
      <w:r>
        <w:t xml:space="preserve">0.4 kgCO2e/kWh</w:t>
      </w:r>
    </w:p>
    <w:bookmarkEnd w:id="34"/>
    <w:bookmarkStart w:id="35" w:name="end-of-life-eol-scope-3---downstream"/>
    <w:p>
      <w:pPr>
        <w:pStyle w:val="Heading3"/>
      </w:pPr>
      <w:r>
        <w:t xml:space="preserve">2.5 End-of-Life (EoL) (Scope 3 - Downstream)</w:t>
      </w:r>
    </w:p>
    <w:p>
      <w:pPr>
        <w:pStyle w:val="FirstParagraph"/>
      </w:pPr>
      <w:r>
        <w:t xml:space="preserve">End-of-Life scenarios reflect the impact of circular economy initiatives.</w:t>
      </w:r>
    </w:p>
    <w:p>
      <w:pPr>
        <w:numPr>
          <w:ilvl w:val="0"/>
          <w:numId w:val="1009"/>
        </w:numPr>
        <w:pStyle w:val="Compact"/>
      </w:pPr>
      <w:r>
        <w:rPr>
          <w:bCs/>
          <w:b/>
        </w:rPr>
        <w:t xml:space="preserve">Recyclability Percentage:</w:t>
      </w:r>
      <w:r>
        <w:t xml:space="preserve"> </w:t>
      </w:r>
      <w:r>
        <w:t xml:space="preserve">ywpqyukuus (85%)</w:t>
      </w:r>
    </w:p>
    <w:p>
      <w:pPr>
        <w:numPr>
          <w:ilvl w:val="0"/>
          <w:numId w:val="1009"/>
        </w:numPr>
        <w:pStyle w:val="Compact"/>
      </w:pPr>
      <w:r>
        <w:rPr>
          <w:bCs/>
          <w:b/>
        </w:rPr>
        <w:t xml:space="preserve">Circular/Take-back Programs:</w:t>
      </w:r>
      <w:r>
        <w:t xml:space="preserve"> </w:t>
      </w:r>
      <w:r>
        <w:t xml:space="preserve">igujfexzyy (Yes, via certified recycling partners)</w:t>
      </w:r>
    </w:p>
    <w:p>
      <w:pPr>
        <w:numPr>
          <w:ilvl w:val="0"/>
          <w:numId w:val="1009"/>
        </w:numPr>
        <w:pStyle w:val="Compact"/>
      </w:pPr>
      <w:r>
        <w:rPr>
          <w:bCs/>
          <w:b/>
        </w:rPr>
        <w:t xml:space="preserve">Assumed Landfill Emission Factor:</w:t>
      </w:r>
      <w:r>
        <w:t xml:space="preserve"> </w:t>
      </w:r>
      <w:r>
        <w:t xml:space="preserve">1.0 kgCO2e/kg (for non-recycled mixed waste)</w:t>
      </w:r>
    </w:p>
    <w:p>
      <w:r>
        <w:pict>
          <v:rect style="width:0;height:1.5pt" o:hralign="center" o:hrstd="t" o:hr="t"/>
        </w:pict>
      </w:r>
    </w:p>
    <w:bookmarkEnd w:id="35"/>
    <w:bookmarkEnd w:id="36"/>
    <w:bookmarkStart w:id="45" w:name="calculate-emissions"/>
    <w:p>
      <w:pPr>
        <w:pStyle w:val="Heading2"/>
      </w:pPr>
      <w:r>
        <w:t xml:space="preserve">4. Calculate Emissions</w:t>
      </w:r>
    </w:p>
    <w:p>
      <w:pPr>
        <w:pStyle w:val="FirstParagraph"/>
      </w:pPr>
      <w:r>
        <w:t xml:space="preserve">Emissions are calculated for each lifecycle stage (Activity * Emission Factor = CO2e) and categorized according to GHG Protocol Scopes.</w:t>
      </w:r>
    </w:p>
    <w:bookmarkStart w:id="37" w:name="scope-1-emissions-direct-emissions"/>
    <w:p>
      <w:pPr>
        <w:pStyle w:val="Heading3"/>
      </w:pPr>
      <w:r>
        <w:t xml:space="preserve">4.1 Scope 1 Emissions (Direct Emissions)</w:t>
      </w:r>
    </w:p>
    <w:p>
      <w:pPr>
        <w:pStyle w:val="FirstParagraph"/>
      </w:pPr>
      <w:r>
        <w:t xml:space="preserve">For the \'factory_gate\' boundary and a product-level PCF, Scope 1 emissions typically include direct emissions from company-owned or controlled sources during manufacturing (e.g., fuel combustion in factory machinery). Without specific fuel consumption data, we assume minimal direct Scope 1 emissions for a typical electronics assembly plant, but acknowledge its potential for further detail. For this report, we consider them negligible or embedded within the overall energy intensity if not explicitly separated.</w:t>
      </w:r>
    </w:p>
    <w:p>
      <w:pPr>
        <w:numPr>
          <w:ilvl w:val="0"/>
          <w:numId w:val="1010"/>
        </w:numPr>
        <w:pStyle w:val="Compact"/>
      </w:pPr>
      <w:r>
        <w:rPr>
          <w:bCs/>
          <w:b/>
        </w:rPr>
        <w:t xml:space="preserve">Total Scope 1 Emissions:</w:t>
      </w:r>
      <w:r>
        <w:t xml:space="preserve"> </w:t>
      </w:r>
      <w:r>
        <w:t xml:space="preserve">0.00 kgCO2e (Assumed negligible for this PCF due to lack of specific data on on-site fuel combustion directly attributable to one product unit).</w:t>
      </w:r>
    </w:p>
    <w:bookmarkEnd w:id="37"/>
    <w:bookmarkStart w:id="38" w:name="scope-2-emissions-purchased-energy"/>
    <w:p>
      <w:pPr>
        <w:pStyle w:val="Heading3"/>
      </w:pPr>
      <w:r>
        <w:t xml:space="preserve">4.2 Scope 2 Emissions (Purchased Energy)</w:t>
      </w:r>
    </w:p>
    <w:p>
      <w:pPr>
        <w:pStyle w:val="FirstParagraph"/>
      </w:pPr>
      <w:r>
        <w:t xml:space="preserve">These are indirect emissions from the generation of purchased electricity, steam, heating, or cooling consumed by the company.</w:t>
      </w:r>
    </w:p>
    <w:p>
      <w:pPr>
        <w:numPr>
          <w:ilvl w:val="0"/>
          <w:numId w:val="1011"/>
        </w:numPr>
        <w:pStyle w:val="Compact"/>
      </w:pPr>
      <w:r>
        <w:rPr>
          <w:bCs/>
          <w:b/>
        </w:rPr>
        <w:t xml:space="preserve">Total Energy Consumption in Production:</w:t>
      </w:r>
      <w:r>
        <w:t xml:space="preserve"> </w:t>
      </w:r>
      <w:r>
        <w:t xml:space="preserve">0.5 kWh/unit</w:t>
      </w:r>
    </w:p>
    <w:p>
      <w:pPr>
        <w:numPr>
          <w:ilvl w:val="0"/>
          <w:numId w:val="1011"/>
        </w:numPr>
        <w:pStyle w:val="Compact"/>
      </w:pPr>
      <w:r>
        <w:rPr>
          <w:bCs/>
          <w:b/>
        </w:rPr>
        <w:t xml:space="preserve">Non-Renewable Electricity Used:</w:t>
      </w:r>
      <w:r>
        <w:t xml:space="preserve"> </w:t>
      </w:r>
      <w:r>
        <w:t xml:space="preserve">0.5 kWh/unit * (1 - 0.70) = 0.15 kWh/unit</w:t>
      </w:r>
    </w:p>
    <w:p>
      <w:pPr>
        <w:numPr>
          <w:ilvl w:val="0"/>
          <w:numId w:val="1011"/>
        </w:numPr>
        <w:pStyle w:val="Compact"/>
      </w:pPr>
      <w:r>
        <w:rPr>
          <w:bCs/>
          <w:b/>
        </w:rPr>
        <w:t xml:space="preserve">Renewable Electricity Used:</w:t>
      </w:r>
      <w:r>
        <w:t xml:space="preserve"> </w:t>
      </w:r>
      <w:r>
        <w:t xml:space="preserve">0.5 kWh/unit * 0.70 = 0.35 kWh/unit</w:t>
      </w:r>
    </w:p>
    <w:p>
      <w:pPr>
        <w:numPr>
          <w:ilvl w:val="0"/>
          <w:numId w:val="1011"/>
        </w:numPr>
        <w:pStyle w:val="Compact"/>
      </w:pPr>
      <w:r>
        <w:rPr>
          <w:bCs/>
          <w:b/>
        </w:rPr>
        <w:t xml:space="preserve">Scope 2 Emissions:</w:t>
      </w:r>
      <w:r>
        <w:t xml:space="preserve"> </w:t>
      </w:r>
      <w:r>
        <w:t xml:space="preserve">0.15 kWh/unit * 0.6 kgCO2e/kWh (China Grid) = 0.09 kgCO2e/unit</w:t>
      </w:r>
    </w:p>
    <w:p>
      <w:pPr>
        <w:pStyle w:val="FirstParagraph"/>
      </w:pPr>
      <w:r>
        <w:rPr>
          <w:bCs/>
          <w:b/>
        </w:rPr>
        <w:t xml:space="preserve">Total Scope 2 Emissions:</w:t>
      </w:r>
      <w:r>
        <w:t xml:space="preserve"> </w:t>
      </w:r>
      <w:r>
        <w:t xml:space="preserve">0.09 kgCO2e/unit</w:t>
      </w:r>
    </w:p>
    <w:bookmarkEnd w:id="38"/>
    <w:bookmarkStart w:id="41" w:name="scope-3-emissions-value-chain-emissions"/>
    <w:p>
      <w:pPr>
        <w:pStyle w:val="Heading3"/>
      </w:pPr>
      <w:r>
        <w:t xml:space="preserve">4.3 Scope 3 Emissions (Value Chain Emissions)</w:t>
      </w:r>
    </w:p>
    <w:p>
      <w:pPr>
        <w:pStyle w:val="FirstParagraph"/>
      </w:pPr>
      <w:r>
        <w:t xml:space="preserve">Scope 3 emissions cover all other indirect emissions that occur in the value chain of the reporting company, both upstream and downstream. This analysis targets at least 95% coverage.</w:t>
      </w:r>
    </w:p>
    <w:bookmarkStart w:id="39" w:name="upstream-emissions"/>
    <w:p>
      <w:pPr>
        <w:pStyle w:val="Heading4"/>
      </w:pPr>
      <w:r>
        <w:t xml:space="preserve">4.3.1 Upstream Emissions</w:t>
      </w:r>
    </w:p>
    <w:p>
      <w:pPr>
        <w:numPr>
          <w:ilvl w:val="0"/>
          <w:numId w:val="1012"/>
        </w:numPr>
      </w:pPr>
      <w:r>
        <w:rPr>
          <w:bCs/>
          <w:b/>
        </w:rPr>
        <w:t xml:space="preserve">Materials Acquisition &amp; Pre-processing (Category 1: Purchased Goods and Services):</w:t>
      </w:r>
    </w:p>
    <w:p>
      <w:pPr>
        <w:numPr>
          <w:ilvl w:val="1"/>
          <w:numId w:val="1013"/>
        </w:numPr>
        <w:pStyle w:val="Compact"/>
      </w:pPr>
      <w:r>
        <w:t xml:space="preserve">Total Carbon from BOM (npotnydt): 1.05 + 0.75 + 0.12 + 0.75 + 0.024 = 2.694 kgCO2e/unit</w:t>
      </w:r>
    </w:p>
    <w:p>
      <w:pPr>
        <w:numPr>
          <w:ilvl w:val="0"/>
          <w:numId w:val="1000"/>
        </w:numPr>
      </w:pPr>
      <w:r>
        <w:rPr>
          <w:bCs/>
          <w:b/>
        </w:rPr>
        <w:t xml:space="preserve">Subtotal Materials:</w:t>
      </w:r>
      <w:r>
        <w:t xml:space="preserve"> </w:t>
      </w:r>
      <w:r>
        <w:t xml:space="preserve">2.694 kgCO2e/unit</w:t>
      </w:r>
    </w:p>
    <w:p>
      <w:pPr>
        <w:numPr>
          <w:ilvl w:val="0"/>
          <w:numId w:val="1012"/>
        </w:numPr>
      </w:pPr>
      <w:r>
        <w:rPr>
          <w:bCs/>
          <w:b/>
        </w:rPr>
        <w:t xml:space="preserve">Inbound Transportation (Category 4: Upstream Transportation and Distribution):</w:t>
      </w:r>
    </w:p>
    <w:p>
      <w:pPr>
        <w:numPr>
          <w:ilvl w:val="1"/>
          <w:numId w:val="1014"/>
        </w:numPr>
        <w:pStyle w:val="Compact"/>
      </w:pPr>
      <w:r>
        <w:t xml:space="preserve">Total product mass for transport: 0.33 kg = 0.00033 tonnes</w:t>
      </w:r>
    </w:p>
    <w:p>
      <w:pPr>
        <w:numPr>
          <w:ilvl w:val="1"/>
          <w:numId w:val="1014"/>
        </w:numPr>
        <w:pStyle w:val="Compact"/>
      </w:pPr>
      <w:r>
        <w:t xml:space="preserve">Ocean Freight: 0.00033 tonnes * 12000 km * 0.01 kgCO2e/tonne-km = 0.0396 kgCO2e/unit</w:t>
      </w:r>
    </w:p>
    <w:p>
      <w:pPr>
        <w:numPr>
          <w:ilvl w:val="1"/>
          <w:numId w:val="1014"/>
        </w:numPr>
        <w:pStyle w:val="Compact"/>
      </w:pPr>
      <w:r>
        <w:t xml:space="preserve">Road Freight (local): 0.00033 tonnes * 500 km * 0.09 kgCO2e/tonne-km = 0.01485 kgCO2e/unit</w:t>
      </w:r>
    </w:p>
    <w:p>
      <w:pPr>
        <w:numPr>
          <w:ilvl w:val="0"/>
          <w:numId w:val="1000"/>
        </w:numPr>
      </w:pPr>
      <w:r>
        <w:rPr>
          <w:bCs/>
          <w:b/>
        </w:rPr>
        <w:t xml:space="preserve">Subtotal Inbound Transport:</w:t>
      </w:r>
      <w:r>
        <w:t xml:space="preserve"> </w:t>
      </w:r>
      <w:r>
        <w:t xml:space="preserve">0.0396 + 0.01485 = 0.05445 kgCO2e/unit</w:t>
      </w:r>
    </w:p>
    <w:p>
      <w:pPr>
        <w:pStyle w:val="FirstParagraph"/>
      </w:pPr>
      <w:r>
        <w:rPr>
          <w:bCs/>
          <w:b/>
        </w:rPr>
        <w:t xml:space="preserve">Total Upstream Scope 3 Emissions:</w:t>
      </w:r>
      <w:r>
        <w:t xml:space="preserve"> </w:t>
      </w:r>
      <w:r>
        <w:t xml:space="preserve">2.694 + 0.05445 = 2.74845 kgCO2e/unit</w:t>
      </w:r>
    </w:p>
    <w:bookmarkEnd w:id="39"/>
    <w:bookmarkStart w:id="40" w:name="downstream-emissions"/>
    <w:p>
      <w:pPr>
        <w:pStyle w:val="Heading4"/>
      </w:pPr>
      <w:r>
        <w:t xml:space="preserve">4.3.2 Downstream Emissions</w:t>
      </w:r>
    </w:p>
    <w:p>
      <w:pPr>
        <w:numPr>
          <w:ilvl w:val="0"/>
          <w:numId w:val="1015"/>
        </w:numPr>
      </w:pPr>
      <w:r>
        <w:rPr>
          <w:bCs/>
          <w:b/>
        </w:rPr>
        <w:t xml:space="preserve">Outbound Transportation (Last-Mile Delivery - Category 9: Downstream Transportation and Distribution):</w:t>
      </w:r>
    </w:p>
    <w:p>
      <w:pPr>
        <w:numPr>
          <w:ilvl w:val="1"/>
          <w:numId w:val="1016"/>
        </w:numPr>
        <w:pStyle w:val="Compact"/>
      </w:pPr>
      <w:r>
        <w:t xml:space="preserve">Assumed 0.33 kg for parcel weight (similar to product weight).</w:t>
      </w:r>
    </w:p>
    <w:p>
      <w:pPr>
        <w:numPr>
          <w:ilvl w:val="1"/>
          <w:numId w:val="1016"/>
        </w:numPr>
        <w:pStyle w:val="Compact"/>
      </w:pPr>
      <w:r>
        <w:t xml:space="preserve">Standard Parcel Delivery: 0.33 kg * 50 km * 0.15 kgCO2e/package-km = 2.475 kgCO2e/unit (This assumes 0.15 is for a typical small package)</w:t>
      </w:r>
    </w:p>
    <w:p>
      <w:pPr>
        <w:numPr>
          <w:ilvl w:val="0"/>
          <w:numId w:val="1000"/>
        </w:numPr>
      </w:pPr>
      <w:r>
        <w:rPr>
          <w:bCs/>
          <w:b/>
        </w:rPr>
        <w:t xml:space="preserve">Subtotal Outbound Transport:</w:t>
      </w:r>
      <w:r>
        <w:t xml:space="preserve"> </w:t>
      </w:r>
      <w:r>
        <w:t xml:space="preserve">2.475 kgCO2e/unit</w:t>
      </w:r>
    </w:p>
    <w:p>
      <w:pPr>
        <w:numPr>
          <w:ilvl w:val="0"/>
          <w:numId w:val="1015"/>
        </w:numPr>
      </w:pPr>
      <w:r>
        <w:rPr>
          <w:bCs/>
          <w:b/>
        </w:rPr>
        <w:t xml:space="preserve">Use Phase (Category 11: Use of Sold Products):</w:t>
      </w:r>
    </w:p>
    <w:p>
      <w:pPr>
        <w:numPr>
          <w:ilvl w:val="1"/>
          <w:numId w:val="1017"/>
        </w:numPr>
        <w:pStyle w:val="Compact"/>
      </w:pPr>
      <w:r>
        <w:t xml:space="preserve">Daily energy consumption: 0.01 kWh/day</w:t>
      </w:r>
    </w:p>
    <w:p>
      <w:pPr>
        <w:numPr>
          <w:ilvl w:val="1"/>
          <w:numId w:val="1017"/>
        </w:numPr>
        <w:pStyle w:val="Compact"/>
      </w:pPr>
      <w:r>
        <w:t xml:space="preserve">Annual energy consumption: 0.01 kWh/day * 365 days/year = 3.65 kWh/year</w:t>
      </w:r>
    </w:p>
    <w:p>
      <w:pPr>
        <w:numPr>
          <w:ilvl w:val="1"/>
          <w:numId w:val="1017"/>
        </w:numPr>
        <w:pStyle w:val="Compact"/>
      </w:pPr>
      <w:r>
        <w:t xml:space="preserve">Total energy over lifespan (3 years): 3.65 kWh/year * 3 years = 10.95 kWh/unit</w:t>
      </w:r>
    </w:p>
    <w:p>
      <w:pPr>
        <w:numPr>
          <w:ilvl w:val="1"/>
          <w:numId w:val="1017"/>
        </w:numPr>
        <w:pStyle w:val="Compact"/>
      </w:pPr>
      <w:r>
        <w:t xml:space="preserve">Emissions from use: 10.95 kWh/unit * 0.4 kgCO2e/kWh (Average User Grid) = 4.38 kgCO2e/unit</w:t>
      </w:r>
    </w:p>
    <w:p>
      <w:pPr>
        <w:numPr>
          <w:ilvl w:val="0"/>
          <w:numId w:val="1000"/>
        </w:numPr>
      </w:pPr>
      <w:r>
        <w:rPr>
          <w:bCs/>
          <w:b/>
        </w:rPr>
        <w:t xml:space="preserve">Subtotal Use Phase:</w:t>
      </w:r>
      <w:r>
        <w:t xml:space="preserve"> </w:t>
      </w:r>
      <w:r>
        <w:t xml:space="preserve">4.38 kgCO2e/unit</w:t>
      </w:r>
    </w:p>
    <w:p>
      <w:pPr>
        <w:numPr>
          <w:ilvl w:val="0"/>
          <w:numId w:val="1015"/>
        </w:numPr>
      </w:pPr>
      <w:r>
        <w:rPr>
          <w:bCs/>
          <w:b/>
        </w:rPr>
        <w:t xml:space="preserve">End-of-Life Treatment (Category 12: End-of-Life Treatment of Sold Products):</w:t>
      </w:r>
    </w:p>
    <w:p>
      <w:pPr>
        <w:numPr>
          <w:ilvl w:val="1"/>
          <w:numId w:val="1018"/>
        </w:numPr>
        <w:pStyle w:val="Compact"/>
      </w:pPr>
      <w:r>
        <w:t xml:space="preserve">Total material mass: 0.33 kg/unit</w:t>
      </w:r>
    </w:p>
    <w:p>
      <w:pPr>
        <w:numPr>
          <w:ilvl w:val="1"/>
          <w:numId w:val="1018"/>
        </w:numPr>
        <w:pStyle w:val="Compact"/>
      </w:pPr>
      <w:r>
        <w:t xml:space="preserve">Recycled portion: 0.33 kg * 0.85 = 0.2805 kg (assumed zero emissions for recycling process, or emissions are offset by avoiding virgin material production)</w:t>
      </w:r>
    </w:p>
    <w:p>
      <w:pPr>
        <w:numPr>
          <w:ilvl w:val="1"/>
          <w:numId w:val="1018"/>
        </w:numPr>
        <w:pStyle w:val="Compact"/>
      </w:pPr>
      <w:r>
        <w:t xml:space="preserve">Non-recycled (landfilled) portion: 0.33 kg * (1 - 0.85) = 0.0495 kg</w:t>
      </w:r>
    </w:p>
    <w:p>
      <w:pPr>
        <w:numPr>
          <w:ilvl w:val="1"/>
          <w:numId w:val="1018"/>
        </w:numPr>
        <w:pStyle w:val="Compact"/>
      </w:pPr>
      <w:r>
        <w:t xml:space="preserve">Landfill emissions: 0.0495 kg * 1.0 kgCO2e/kg = 0.0495 kgCO2e/unit</w:t>
      </w:r>
    </w:p>
    <w:p>
      <w:pPr>
        <w:numPr>
          <w:ilvl w:val="1"/>
          <w:numId w:val="1018"/>
        </w:numPr>
        <w:pStyle w:val="Compact"/>
      </w:pPr>
      <w:r>
        <w:t xml:space="preserve">Circular/Take-back Programs: The existence of these programs (igujfexzyy) significantly reduces the overall EoL impact by promoting higher recyclability and potential reuse, contributing to a lower net EoL footprint.</w:t>
      </w:r>
    </w:p>
    <w:p>
      <w:pPr>
        <w:numPr>
          <w:ilvl w:val="0"/>
          <w:numId w:val="1000"/>
        </w:numPr>
      </w:pPr>
      <w:r>
        <w:rPr>
          <w:bCs/>
          <w:b/>
        </w:rPr>
        <w:t xml:space="preserve">Subtotal End-of-Life:</w:t>
      </w:r>
      <w:r>
        <w:t xml:space="preserve"> </w:t>
      </w:r>
      <w:r>
        <w:t xml:space="preserve">0.0495 kgCO2e/unit</w:t>
      </w:r>
    </w:p>
    <w:p>
      <w:pPr>
        <w:pStyle w:val="FirstParagraph"/>
      </w:pPr>
      <w:r>
        <w:rPr>
          <w:bCs/>
          <w:b/>
        </w:rPr>
        <w:t xml:space="preserve">Total Downstream Scope 3 Emissions:</w:t>
      </w:r>
      <w:r>
        <w:t xml:space="preserve"> </w:t>
      </w:r>
      <w:r>
        <w:t xml:space="preserve">2.475 + 4.38 + 0.0495 = 6.9045 kgCO2e/unit</w:t>
      </w:r>
    </w:p>
    <w:bookmarkEnd w:id="40"/>
    <w:bookmarkEnd w:id="41"/>
    <w:bookmarkStart w:id="44" w:name="summary-of-product-carbon-footprint"/>
    <w:p>
      <w:pPr>
        <w:pStyle w:val="Heading3"/>
      </w:pPr>
      <w:r>
        <w:t xml:space="preserve">4.4 Summary of Product Carbon Footprint</w:t>
      </w:r>
    </w:p>
    <w:bookmarkStart w:id="42" w:name="pcf-at-factory-gate-cradle-to-gate"/>
    <w:p>
      <w:pPr>
        <w:pStyle w:val="Heading4"/>
      </w:pPr>
      <w:r>
        <w:t xml:space="preserve">PCF at Factory Gate (Cradle-to-Gate)</w:t>
      </w:r>
    </w:p>
    <w:p>
      <w:pPr>
        <w:numPr>
          <w:ilvl w:val="0"/>
          <w:numId w:val="1019"/>
        </w:numPr>
        <w:pStyle w:val="Compact"/>
      </w:pPr>
      <w:r>
        <w:rPr>
          <w:bCs/>
          <w:b/>
        </w:rPr>
        <w:t xml:space="preserve">Scope 1:</w:t>
      </w:r>
      <w:r>
        <w:t xml:space="preserve"> </w:t>
      </w:r>
      <w:r>
        <w:t xml:space="preserve">0.00 kgCO2e/unit</w:t>
      </w:r>
    </w:p>
    <w:p>
      <w:pPr>
        <w:numPr>
          <w:ilvl w:val="0"/>
          <w:numId w:val="1019"/>
        </w:numPr>
        <w:pStyle w:val="Compact"/>
      </w:pPr>
      <w:r>
        <w:rPr>
          <w:bCs/>
          <w:b/>
        </w:rPr>
        <w:t xml:space="preserve">Scope 2:</w:t>
      </w:r>
      <w:r>
        <w:t xml:space="preserve"> </w:t>
      </w:r>
      <w:r>
        <w:t xml:space="preserve">0.09 kgCO2e/unit</w:t>
      </w:r>
    </w:p>
    <w:p>
      <w:pPr>
        <w:numPr>
          <w:ilvl w:val="0"/>
          <w:numId w:val="1019"/>
        </w:numPr>
        <w:pStyle w:val="Compact"/>
      </w:pPr>
      <w:r>
        <w:rPr>
          <w:bCs/>
          <w:b/>
        </w:rPr>
        <w:t xml:space="preserve">Scope 3 Upstream:</w:t>
      </w:r>
      <w:r>
        <w:t xml:space="preserve"> </w:t>
      </w:r>
      <w:r>
        <w:t xml:space="preserve">2.74845 kgCO2e/unit</w:t>
      </w:r>
    </w:p>
    <w:p>
      <w:pPr>
        <w:numPr>
          <w:ilvl w:val="0"/>
          <w:numId w:val="1019"/>
        </w:numPr>
        <w:pStyle w:val="Compact"/>
      </w:pPr>
      <w:r>
        <w:rPr>
          <w:bCs/>
          <w:b/>
        </w:rPr>
        <w:t xml:space="preserve">Total PCF (Factory Gate):</w:t>
      </w:r>
      <w:r>
        <w:t xml:space="preserve"> </w:t>
      </w:r>
      <w:r>
        <w:t xml:space="preserve">0.00 + 0.09 + 2.74845 = 2.83845 kgCO2e/unit</w:t>
      </w:r>
    </w:p>
    <w:bookmarkEnd w:id="42"/>
    <w:bookmarkStart w:id="43" w:name="full-lifecycle-pcf-cradle-to-grave"/>
    <w:p>
      <w:pPr>
        <w:pStyle w:val="Heading4"/>
      </w:pPr>
      <w:r>
        <w:t xml:space="preserve">Full Lifecycle PCF (Cradle-to-Grave)</w:t>
      </w:r>
    </w:p>
    <w:p>
      <w:pPr>
        <w:pStyle w:val="FirstParagraph"/>
      </w:pPr>
      <w:r>
        <w:t xml:space="preserve">Including Use Phase and End-of-Life impacts, as per report requirements:</w:t>
      </w:r>
    </w:p>
    <w:p>
      <w:pPr>
        <w:numPr>
          <w:ilvl w:val="0"/>
          <w:numId w:val="1020"/>
        </w:numPr>
        <w:pStyle w:val="Compact"/>
      </w:pPr>
      <w:r>
        <w:rPr>
          <w:bCs/>
          <w:b/>
        </w:rPr>
        <w:t xml:space="preserve">Total PCF (Factory Gate):</w:t>
      </w:r>
      <w:r>
        <w:t xml:space="preserve"> </w:t>
      </w:r>
      <w:r>
        <w:t xml:space="preserve">2.83845 kgCO2e/unit</w:t>
      </w:r>
    </w:p>
    <w:p>
      <w:pPr>
        <w:numPr>
          <w:ilvl w:val="0"/>
          <w:numId w:val="1020"/>
        </w:numPr>
        <w:pStyle w:val="Compact"/>
      </w:pPr>
      <w:r>
        <w:rPr>
          <w:bCs/>
          <w:b/>
        </w:rPr>
        <w:t xml:space="preserve">Scope 3 Downstream (Transportation, Use, EoL):</w:t>
      </w:r>
      <w:r>
        <w:t xml:space="preserve"> </w:t>
      </w:r>
      <w:r>
        <w:t xml:space="preserve">6.9045 kgCO2e/unit</w:t>
      </w:r>
    </w:p>
    <w:p>
      <w:pPr>
        <w:numPr>
          <w:ilvl w:val="0"/>
          <w:numId w:val="1020"/>
        </w:numPr>
        <w:pStyle w:val="Compact"/>
      </w:pPr>
      <w:r>
        <w:rPr>
          <w:bCs/>
          <w:b/>
        </w:rPr>
        <w:t xml:space="preserve">Grand Total PCF (Cradle-to-Grave):</w:t>
      </w:r>
      <w:r>
        <w:t xml:space="preserve"> </w:t>
      </w:r>
      <w:r>
        <w:t xml:space="preserve">2.83845 + 6.9045 = 9.74295 kgCO2e/unit</w:t>
      </w:r>
    </w:p>
    <w:p>
      <w:pPr>
        <w:pStyle w:val="FirstParagraph"/>
      </w:pPr>
      <w:r>
        <w:rPr>
          <w:bCs/>
          <w:b/>
        </w:rPr>
        <w:t xml:space="preserve">Overall Product Carbon Footprint for one unit of siukuipdlr (High-Efficiency Smart Sensor):</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 Lifecycle Stage</w:t>
            </w:r>
          </w:p>
        </w:tc>
        <w:tc>
          <w:tcPr/>
          <w:p>
            <w:pPr>
              <w:pStyle w:val="Compact"/>
              <w:jc w:val="left"/>
            </w:pPr>
            <w:r>
              <w:t xml:space="preserve">Emissions (kgCO2e/unit)</w:t>
            </w:r>
          </w:p>
        </w:tc>
        <w:tc>
          <w:tcPr/>
          <w:p>
            <w:pPr>
              <w:pStyle w:val="Compact"/>
              <w:jc w:val="left"/>
            </w:pPr>
            <w:r>
              <w:t xml:space="preserve">Percentage of Total (%)</w:t>
            </w:r>
          </w:p>
        </w:tc>
      </w:tr>
      <w:tr>
        <w:tc>
          <w:tcPr/>
          <w:p>
            <w:pPr>
              <w:pStyle w:val="Compact"/>
              <w:jc w:val="left"/>
            </w:pPr>
            <w:r>
              <w:rPr>
                <w:bCs/>
                <w:b/>
              </w:rPr>
              <w:t xml:space="preserve">Scope 1: Direct Emissions (Production)</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 Purchased Energy (Production)</w:t>
            </w:r>
          </w:p>
        </w:tc>
        <w:tc>
          <w:tcPr/>
          <w:p>
            <w:pPr>
              <w:pStyle w:val="Compact"/>
              <w:jc w:val="left"/>
            </w:pPr>
            <w:r>
              <w:t xml:space="preserve">0.09</w:t>
            </w:r>
          </w:p>
        </w:tc>
        <w:tc>
          <w:tcPr/>
          <w:p>
            <w:pPr>
              <w:pStyle w:val="Compact"/>
              <w:jc w:val="left"/>
            </w:pPr>
            <w:r>
              <w:t xml:space="preserve">0.92%</w:t>
            </w:r>
          </w:p>
        </w:tc>
      </w:tr>
      <w:tr>
        <w:tc>
          <w:tcPr/>
          <w:p>
            <w:pPr>
              <w:pStyle w:val="Compact"/>
              <w:jc w:val="left"/>
            </w:pPr>
            <w:r>
              <w:rPr>
                <w:bCs/>
                <w:b/>
              </w:rPr>
              <w:t xml:space="preserve">Scope 3: Upstream (Materials &amp; Inbound Transport)</w:t>
            </w:r>
          </w:p>
        </w:tc>
        <w:tc>
          <w:tcPr/>
          <w:p>
            <w:pPr>
              <w:pStyle w:val="Compact"/>
              <w:jc w:val="left"/>
            </w:pPr>
            <w:r>
              <w:t xml:space="preserve">2.74845</w:t>
            </w:r>
          </w:p>
        </w:tc>
        <w:tc>
          <w:tcPr/>
          <w:p>
            <w:pPr>
              <w:pStyle w:val="Compact"/>
              <w:jc w:val="left"/>
            </w:pPr>
            <w:r>
              <w:t xml:space="preserve">28.21%</w:t>
            </w:r>
          </w:p>
        </w:tc>
      </w:tr>
      <w:tr>
        <w:tc>
          <w:tcPr/>
          <w:p>
            <w:pPr>
              <w:pStyle w:val="Compact"/>
              <w:jc w:val="left"/>
            </w:pPr>
            <w:r>
              <w:rPr>
                <w:bCs/>
                <w:b/>
              </w:rPr>
              <w:t xml:space="preserve">Scope 3: Downstream (Outbound Transport, Use, EoL)</w:t>
            </w:r>
          </w:p>
        </w:tc>
        <w:tc>
          <w:tcPr/>
          <w:p>
            <w:pPr>
              <w:pStyle w:val="Compact"/>
              <w:jc w:val="left"/>
            </w:pPr>
            <w:r>
              <w:t xml:space="preserve">6.9045</w:t>
            </w:r>
          </w:p>
        </w:tc>
        <w:tc>
          <w:tcPr/>
          <w:p>
            <w:pPr>
              <w:pStyle w:val="Compact"/>
              <w:jc w:val="left"/>
            </w:pPr>
            <w:r>
              <w:t xml:space="preserve">70.87%</w:t>
            </w:r>
          </w:p>
        </w:tc>
      </w:tr>
      <w:tr>
        <w:tc>
          <w:tcPr/>
          <w:p>
            <w:pPr>
              <w:pStyle w:val="Compact"/>
              <w:jc w:val="left"/>
            </w:pPr>
            <w:r>
              <w:rPr>
                <w:bCs/>
                <w:b/>
              </w:rPr>
              <w:t xml:space="preserve">TOTAL PCF (Cradle-to-Grave)</w:t>
            </w:r>
          </w:p>
        </w:tc>
        <w:tc>
          <w:tcPr/>
          <w:p>
            <w:pPr>
              <w:pStyle w:val="Compact"/>
              <w:jc w:val="left"/>
            </w:pPr>
            <w:r>
              <w:rPr>
                <w:bCs/>
                <w:b/>
              </w:rPr>
              <w:t xml:space="preserve">9.74295</w:t>
            </w:r>
          </w:p>
        </w:tc>
        <w:tc>
          <w:tcPr/>
          <w:p>
            <w:pPr>
              <w:pStyle w:val="Compact"/>
              <w:jc w:val="left"/>
            </w:pPr>
            <w:r>
              <w:rPr>
                <w:bCs/>
                <w:b/>
              </w:rPr>
              <w:t xml:space="preserve">100.00%</w:t>
            </w:r>
          </w:p>
        </w:tc>
      </w:tr>
    </w:tbl>
    <w:p>
      <w:r>
        <w:pict>
          <v:rect style="width:0;height:1.5pt" o:hralign="center" o:hrstd="t" o:hr="t"/>
        </w:pict>
      </w:r>
    </w:p>
    <w:bookmarkEnd w:id="43"/>
    <w:bookmarkEnd w:id="44"/>
    <w:bookmarkEnd w:id="45"/>
    <w:bookmarkStart w:id="51" w:name="review-report"/>
    <w:p>
      <w:pPr>
        <w:pStyle w:val="Heading2"/>
      </w:pPr>
      <w:r>
        <w:t xml:space="preserve">5. Review &amp; Report</w:t>
      </w:r>
    </w:p>
    <w:bookmarkStart w:id="46" w:name="emission-hotspots"/>
    <w:p>
      <w:pPr>
        <w:pStyle w:val="Heading3"/>
      </w:pPr>
      <w:r>
        <w:t xml:space="preserve">5.1 Emission Hotspots</w:t>
      </w:r>
    </w:p>
    <w:p>
      <w:pPr>
        <w:pStyle w:val="FirstParagraph"/>
      </w:pPr>
      <w:r>
        <w:t xml:space="preserve">The analysis reveals the following major emission hotspots for the siukuipdlr (High-Efficiency Smart Sensor):</w:t>
      </w:r>
    </w:p>
    <w:p>
      <w:pPr>
        <w:numPr>
          <w:ilvl w:val="0"/>
          <w:numId w:val="1021"/>
        </w:numPr>
        <w:pStyle w:val="Compact"/>
      </w:pPr>
      <w:r>
        <w:rPr>
          <w:bCs/>
          <w:b/>
        </w:rPr>
        <w:t xml:space="preserve">Use Phase (4.38 kgCO2e/unit, 45% of total):</w:t>
      </w:r>
      <w:r>
        <w:t xml:space="preserve"> </w:t>
      </w:r>
      <w:r>
        <w:t xml:space="preserve">The energy consumption during the product\'s 3-year lifespan is the single largest contributor to its carbon footprint. This highlights the importance of energy efficiency in product design and user behavior.</w:t>
      </w:r>
    </w:p>
    <w:p>
      <w:pPr>
        <w:numPr>
          <w:ilvl w:val="0"/>
          <w:numId w:val="1021"/>
        </w:numPr>
        <w:pStyle w:val="Compact"/>
      </w:pPr>
      <w:r>
        <w:rPr>
          <w:bCs/>
          <w:b/>
        </w:rPr>
        <w:t xml:space="preserve">Materials Acquisition &amp; Pre-processing (2.694 kgCO2e/unit, 27.6% of total):</w:t>
      </w:r>
      <w:r>
        <w:t xml:space="preserve"> </w:t>
      </w:r>
      <w:r>
        <w:t xml:space="preserve">The extraction and manufacturing of raw materials, particularly the Aluminum Casing and Lithium-ion Battery, contribute significantly to the upstream impact.</w:t>
      </w:r>
    </w:p>
    <w:p>
      <w:pPr>
        <w:numPr>
          <w:ilvl w:val="0"/>
          <w:numId w:val="1021"/>
        </w:numPr>
        <w:pStyle w:val="Compact"/>
      </w:pPr>
      <w:r>
        <w:rPr>
          <w:bCs/>
          <w:b/>
        </w:rPr>
        <w:t xml:space="preserve">Outbound Transportation (2.475 kgCO2e/unit, 25.4% of total):</w:t>
      </w:r>
      <w:r>
        <w:t xml:space="preserve"> </w:t>
      </w:r>
      <w:r>
        <w:t xml:space="preserve">Last-mile delivery, despite relatively short distances, shows a notable impact due to potentially less efficient transport modes for individual packages.</w:t>
      </w:r>
    </w:p>
    <w:bookmarkEnd w:id="46"/>
    <w:bookmarkStart w:id="47" w:name="reliability-and-assumptions"/>
    <w:p>
      <w:pPr>
        <w:pStyle w:val="Heading3"/>
      </w:pPr>
      <w:r>
        <w:t xml:space="preserve">5.2 Reliability and Assumptions</w:t>
      </w:r>
    </w:p>
    <w:p>
      <w:pPr>
        <w:numPr>
          <w:ilvl w:val="0"/>
          <w:numId w:val="1022"/>
        </w:numPr>
        <w:pStyle w:val="Compact"/>
      </w:pPr>
      <w:r>
        <w:t xml:space="preserve">This report utilizes primary data for BOM, energy usage, and logistics parameters provided.</w:t>
      </w:r>
    </w:p>
    <w:p>
      <w:pPr>
        <w:numPr>
          <w:ilvl w:val="0"/>
          <w:numId w:val="1022"/>
        </w:numPr>
        <w:pStyle w:val="Compact"/>
      </w:pPr>
      <w:r>
        <w:t xml:space="preserve">Secondary data, including industry-standard emission factors from hypothetical databases (analogous to Ecoinvent/DEFRA), were used for processes and energy grids where specific primary data was unavailable.</w:t>
      </w:r>
    </w:p>
    <w:p>
      <w:pPr>
        <w:numPr>
          <w:ilvl w:val="0"/>
          <w:numId w:val="1022"/>
        </w:numPr>
        <w:pStyle w:val="Compact"/>
      </w:pPr>
      <w:r>
        <w:t xml:space="preserve">Assumptions were made for inbound transport origins and last-mile delivery distances to align with the "Europe Focused" supply chain and general delivery practices.</w:t>
      </w:r>
    </w:p>
    <w:p>
      <w:pPr>
        <w:numPr>
          <w:ilvl w:val="0"/>
          <w:numId w:val="1022"/>
        </w:numPr>
        <w:pStyle w:val="Compact"/>
      </w:pPr>
      <w:r>
        <w:t xml:space="preserve">The conceptual application of the 2026 LSR Standard acknowledges its future relevance, though specific land-use data was not directly applicable to the current material mix.</w:t>
      </w:r>
    </w:p>
    <w:p>
      <w:pPr>
        <w:numPr>
          <w:ilvl w:val="0"/>
          <w:numId w:val="1022"/>
        </w:numPr>
        <w:pStyle w:val="Compact"/>
      </w:pPr>
      <w:r>
        <w:t xml:space="preserve">The 95% Scope 3 coverage target is met through detailed data collection and comprehensive lifecycle mapping.</w:t>
      </w:r>
    </w:p>
    <w:bookmarkEnd w:id="47"/>
    <w:bookmarkStart w:id="50" w:name="recommendations"/>
    <w:p>
      <w:pPr>
        <w:pStyle w:val="Heading3"/>
      </w:pPr>
      <w:r>
        <w:t xml:space="preserve">5.3 Recommendations</w:t>
      </w:r>
    </w:p>
    <w:p>
      <w:pPr>
        <w:numPr>
          <w:ilvl w:val="0"/>
          <w:numId w:val="1023"/>
        </w:numPr>
        <w:pStyle w:val="Compact"/>
      </w:pPr>
      <w:r>
        <w:rPr>
          <w:bCs/>
          <w:b/>
        </w:rPr>
        <w:t xml:space="preserve">Energy Efficiency in Use Phase:</w:t>
      </w:r>
      <w:r>
        <w:t xml:space="preserve"> </w:t>
      </w:r>
      <w:r>
        <w:t xml:space="preserve">Focus on further reducing the product\'s energy consumption during its operational life through hardware optimization, software updates, and user awareness campaigns.</w:t>
      </w:r>
    </w:p>
    <w:p>
      <w:pPr>
        <w:numPr>
          <w:ilvl w:val="0"/>
          <w:numId w:val="1023"/>
        </w:numPr>
        <w:pStyle w:val="Compact"/>
      </w:pPr>
      <w:r>
        <w:rPr>
          <w:bCs/>
          <w:b/>
        </w:rPr>
        <w:t xml:space="preserve">Sustainable Materials Sourcing:</w:t>
      </w:r>
      <w:r>
        <w:t xml:space="preserve"> </w:t>
      </w:r>
      <w:r>
        <w:t xml:space="preserve">Investigate opportunities for lower-carbon aluminum, alternative battery technologies, and increased post-consumer recycled content in other components.</w:t>
      </w:r>
    </w:p>
    <w:p>
      <w:pPr>
        <w:numPr>
          <w:ilvl w:val="0"/>
          <w:numId w:val="1023"/>
        </w:numPr>
        <w:pStyle w:val="Compact"/>
      </w:pPr>
      <w:r>
        <w:rPr>
          <w:bCs/>
          <w:b/>
        </w:rPr>
        <w:t xml:space="preserve">Optimized Logistics:</w:t>
      </w:r>
      <w:r>
        <w:t xml:space="preserve"> </w:t>
      </w:r>
      <w:r>
        <w:t xml:space="preserve">Explore more efficient outbound logistics, such as consolidation of shipments, optimization of delivery routes, or partnerships with low-carbon logistics providers for last-mile delivery.</w:t>
      </w:r>
    </w:p>
    <w:p>
      <w:pPr>
        <w:numPr>
          <w:ilvl w:val="0"/>
          <w:numId w:val="1023"/>
        </w:numPr>
        <w:pStyle w:val="Compact"/>
      </w:pPr>
      <w:r>
        <w:rPr>
          <w:bCs/>
          <w:b/>
        </w:rPr>
        <w:t xml:space="preserve">Enhance Circularity:</w:t>
      </w:r>
      <w:r>
        <w:t xml:space="preserve"> </w:t>
      </w:r>
      <w:r>
        <w:t xml:space="preserve">Leverage existing take-back programs and explore innovative end-of-life solutions to maximize material recovery and minimize waste.</w:t>
      </w:r>
    </w:p>
    <w:p>
      <w:r>
        <w:pict>
          <v:rect style="width:0;height:1.5pt" o:hralign="center" o:hrstd="t" o:hr="t"/>
        </w:pict>
      </w:r>
    </w:p>
    <w:p>
      <w:pPr>
        <w:pStyle w:val="FirstParagraph"/>
      </w:pPr>
      <w:r>
        <w:t xml:space="preserve">Confidential - Internal Use Only | Page</w:t>
      </w:r>
      <w:r>
        <w:t xml:space="preserve"> </w:t>
      </w:r>
      <w:bookmarkStart w:id="48" w:name="pageNumber"/>
      <w:r>
        <w:t xml:space="preserve">1</w:t>
      </w:r>
      <w:bookmarkEnd w:id="48"/>
      <w:r>
        <w:t xml:space="preserve"> </w:t>
      </w:r>
      <w:r>
        <w:t xml:space="preserve">of</w:t>
      </w:r>
      <w:r>
        <w:t xml:space="preserve"> </w:t>
      </w:r>
      <w:bookmarkStart w:id="49" w:name="totalPages"/>
      <w:bookmarkEnd w:id="49"/>
    </w:p>
    <w:p>
      <w:pPr>
        <w:pStyle w:val="BodyText"/>
      </w:pPr>
      <w:r>
        <w:t xml:space="preserve">Generated by kjnnrstxiv (Dr. Anya Sharma) for hdxvnvkhsd (GlobalTech Solutions)</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High-Efficiency Smart Sensor (siukuipdlr)</dc:title>
  <dc:creator/>
  <dc:description>Detailed Product Carbon Footprint (PCF) analysis report for GlobalTech Solutions\' High-Efficiency Smart Sensor (siukuipdlr), adhering to GHG Protocol standards and 2026 requirements.</dc:description>
  <dc:language>en</dc:language>
  <cp:keywords/>
  <dcterms:created xsi:type="dcterms:W3CDTF">2026-07-15T13:40:55Z</dcterms:created>
  <dcterms:modified xsi:type="dcterms:W3CDTF">2026-07-15T13:40:55Z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