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High-Efficiency</w:t>
      </w:r>
      <w:r>
        <w:t xml:space="preserve"> </w:t>
      </w:r>
      <w:r>
        <w:t xml:space="preserve">LED</w:t>
      </w:r>
      <w:r>
        <w:t xml:space="preserve"> </w:t>
      </w:r>
      <w:r>
        <w:t xml:space="preserve">Lighting</w:t>
      </w:r>
      <w:r>
        <w:t xml:space="preserve"> </w:t>
      </w:r>
      <w:r>
        <w:t xml:space="preserve">Fixture</w:t>
      </w:r>
      <w:r>
        <w:t xml:space="preserve"> </w:t>
      </w:r>
      <w:r>
        <w:t xml:space="preserve">(tgoixmthkk)</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High-Efficiency LED Lighting Fixture (tgoixmthkk)</w:t>
      </w:r>
    </w:p>
    <w:p>
      <w:pPr>
        <w:pStyle w:val="BodyText"/>
      </w:pPr>
      <w:r>
        <w:rPr>
          <w:bCs/>
          <w:b/>
        </w:rPr>
        <w:t xml:space="preserve">Company:</w:t>
      </w:r>
      <w:r>
        <w:t xml:space="preserve"> </w:t>
      </w:r>
      <w:r>
        <w:t xml:space="preserve">InnovateTech Solutions Inc. (upnukxsydo)</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yrofndmnut</w:t>
      </w:r>
    </w:p>
    <w:p>
      <w:pPr>
        <w:pStyle w:val="BodyText"/>
      </w:pPr>
      <w:r>
        <w:t xml:space="preserve">This report is generated based on available data and industry standards. While efforts have been made to ensure accuracy and adherence to the specified parameters, actual emissions may vary depending on real-world conditions and specific supplier data.</w:t>
      </w:r>
    </w:p>
    <w:bookmarkEnd w:id="20"/>
    <w:bookmarkStart w:id="50" w:name="product-carbon-footprint-report"/>
    <w:p>
      <w:pPr>
        <w:pStyle w:val="Heading1"/>
      </w:pPr>
      <w:r>
        <w:t xml:space="preserve">Product Carbon Footprint Report</w:t>
      </w:r>
    </w:p>
    <w:p>
      <w:pPr>
        <w:pStyle w:val="FirstParagraph"/>
      </w:pPr>
      <w:r>
        <w:rPr>
          <w:bCs/>
          <w:b/>
        </w:rPr>
        <w:t xml:space="preserve">Generated Date:</w:t>
      </w:r>
      <w:r>
        <w:t xml:space="preserve"> </w:t>
      </w:r>
      <w:r>
        <w:t xml:space="preserve">May 17,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High-Efficiency LED Lighting Fixture (tgoixmthkk) manufactured by InnovateTech Solutions Inc. (upnukxsydo). The analysis, conducted by Senior Sustainability Consultant yrofndmnut, adheres to the GHG Protocol and covers the entire product lifecycle from raw material acquisition to end-of-life. The primary goal is to identify greenhouse gas (GHG) emission hotspots and provide a reliable baseline for future sustainability improvements, with a focus on comprehensive Scope 3 reporting.</w:t>
      </w:r>
    </w:p>
    <w:p>
      <w:r>
        <w:pict>
          <v:rect style="width:0;height:1.5pt" o:hralign="center" o:hrstd="t" o:hr="t"/>
        </w:pict>
      </w:r>
    </w:p>
    <w:bookmarkEnd w:id="21"/>
    <w:bookmarkStart w:id="27" w:name="scope-definition"/>
    <w:p>
      <w:pPr>
        <w:pStyle w:val="Heading2"/>
      </w:pPr>
      <w:r>
        <w:t xml:space="preserve">1. Scope Definition</w:t>
      </w:r>
    </w:p>
    <w:bookmarkStart w:id="22" w:name="functional-unit"/>
    <w:p>
      <w:pPr>
        <w:pStyle w:val="Heading3"/>
      </w:pPr>
      <w:r>
        <w:t xml:space="preserve">1.1 Functional Unit</w:t>
      </w:r>
    </w:p>
    <w:p>
      <w:pPr>
        <w:pStyle w:val="FirstParagraph"/>
      </w:pPr>
      <w:r>
        <w:t xml:space="preserve">The functional unit for this PCF analysis is</w:t>
      </w:r>
      <w:r>
        <w:t xml:space="preserve"> </w:t>
      </w:r>
      <w:r>
        <w:rPr>
          <w:bCs/>
          <w:b/>
        </w:rPr>
        <w:t xml:space="preserve">1.0 unit of High-Efficiency LED Lighting Fixture (tgoixmthkk)</w:t>
      </w:r>
      <w:r>
        <w:t xml:space="preserve">, designed to provide illumination for its intended lifespan.</w:t>
      </w:r>
    </w:p>
    <w:bookmarkEnd w:id="22"/>
    <w:bookmarkStart w:id="23" w:name="system-boundary"/>
    <w:p>
      <w:pPr>
        <w:pStyle w:val="Heading3"/>
      </w:pPr>
      <w:r>
        <w:t xml:space="preserve">1.2 System Boundary</w:t>
      </w:r>
    </w:p>
    <w:p>
      <w:pPr>
        <w:pStyle w:val="FirstParagraph"/>
      </w:pPr>
      <w:r>
        <w:t xml:space="preserve">The system boundary for this analysis is set at</w:t>
      </w:r>
      <w:r>
        <w:t xml:space="preserve"> </w:t>
      </w:r>
      <w:r>
        <w:rPr>
          <w:bCs/>
          <w:b/>
        </w:rPr>
        <w:t xml:space="preserve">factory_gate</w:t>
      </w:r>
      <w:r>
        <w:t xml:space="preserve">. This cradle-to-gate approach includes all emissions associated with the raw material extraction, processing, component manufacturing, and the final assembly of the product at the manufacturing facility. Additionally, for a comprehensive PCF, downstream emissions from transport to customer, product use, and end-of-life are also included, extending beyond the strict "factory gate" interpretation to cover a full life cycle assessment as required by the prompt\'s subsequent steps.</w:t>
      </w:r>
    </w:p>
    <w:bookmarkEnd w:id="23"/>
    <w:bookmarkStart w:id="24" w:name="geographic-scope"/>
    <w:p>
      <w:pPr>
        <w:pStyle w:val="Heading3"/>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 (implying sales and use in Europe, with upstream and downstream transport connecting to this region).</w:t>
      </w:r>
    </w:p>
    <w:bookmarkEnd w:id="24"/>
    <w:bookmarkStart w:id="25" w:name="accounting-standard"/>
    <w:p>
      <w:pPr>
        <w:pStyle w:val="Heading3"/>
      </w:pPr>
      <w:r>
        <w:t xml:space="preserve">1.4 Accounting Standard</w:t>
      </w:r>
    </w:p>
    <w:p>
      <w:pPr>
        <w:pStyle w:val="FirstParagraph"/>
      </w:pPr>
      <w:r>
        <w:t xml:space="preserve">This analysis strictly follows the</w:t>
      </w:r>
      <w:r>
        <w:t xml:space="preserve"> </w:t>
      </w:r>
      <w:r>
        <w:rPr>
          <w:bCs/>
          <w:b/>
        </w:rPr>
        <w:t xml:space="preserve">GHG Protocol</w:t>
      </w:r>
      <w:r>
        <w:t xml:space="preserve"> </w:t>
      </w:r>
      <w:r>
        <w:t xml:space="preserve">standards for corporate value chain (Scope 3) accounting and reporting. Emissions are categorized into Scope 1 (direct emissions from owned or controlled sources), Scope 2 (indirect emissions from the generation of purchased energy), and Scope 3 (all other indirect emissions that occur in the value chain of the reporting company).</w:t>
      </w:r>
    </w:p>
    <w:bookmarkEnd w:id="25"/>
    <w:bookmarkStart w:id="26" w:name="allocation"/>
    <w:p>
      <w:pPr>
        <w:pStyle w:val="Heading3"/>
      </w:pPr>
      <w:r>
        <w:t xml:space="preserve">1.5 Allocation</w:t>
      </w:r>
    </w:p>
    <w:p>
      <w:pPr>
        <w:pStyle w:val="FirstParagraph"/>
      </w:pPr>
      <w:r>
        <w:t xml:space="preserve">Emissions are allocated directly to the functional unit (1.0 unit of High-Efficiency LED Lighting Fixture) based on mass and energy consumption attributable to the production, distribution, use, and end-of-life phases of the product.</w:t>
      </w:r>
    </w:p>
    <w:p>
      <w:r>
        <w:pict>
          <v:rect style="width:0;height:1.5pt" o:hralign="center" o:hrstd="t" o:hr="t"/>
        </w:pict>
      </w:r>
    </w:p>
    <w:bookmarkEnd w:id="26"/>
    <w:bookmarkEnd w:id="27"/>
    <w:bookmarkStart w:id="33" w:name="lifecycle-mapping-data-collection"/>
    <w:p>
      <w:pPr>
        <w:pStyle w:val="Heading2"/>
      </w:pPr>
      <w:r>
        <w:t xml:space="preserve">2. &amp; 3. Lifecycle Mapping &amp; Data Collection</w:t>
      </w:r>
    </w:p>
    <w:p>
      <w:pPr>
        <w:pStyle w:val="FirstParagraph"/>
      </w:pPr>
      <w:r>
        <w:t xml:space="preserve">This section details the inventory of materials, energy, and logistics data points collected and used for the PCF calculation for the High-Efficiency LED Lighting Fixture (tgoixmthkk).</w:t>
      </w:r>
    </w:p>
    <w:bookmarkStart w:id="28" w:name="detailed-bill-of-materials-bom"/>
    <w:p>
      <w:pPr>
        <w:pStyle w:val="Heading3"/>
      </w:pPr>
      <w:r>
        <w:t xml:space="preserve">2.1 Detailed Bill of Materials (BOM)</w:t>
      </w:r>
    </w:p>
    <w:p>
      <w:pPr>
        <w:pStyle w:val="FirstParagraph"/>
      </w:pPr>
      <w:r>
        <w:t xml:space="preserve">The following table presents the detailed Bill of Materials for the High-Efficiency LED Lighting Fixture, including material categories, quantities, and their associated cradle-to-gate carbon emissions. This data is critical for calculating Scope 3, Category 1 emissions (Purchased Goods and Services).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Primary Aluminum Prod.</w:t>
            </w:r>
          </w:p>
        </w:tc>
        <w:tc>
          <w:tcPr/>
          <w:p>
            <w:pPr>
              <w:pStyle w:val="Compact"/>
              <w:jc w:val="left"/>
            </w:pPr>
            <w:r>
              <w:t xml:space="preserve">0.5</w:t>
            </w:r>
          </w:p>
        </w:tc>
        <w:tc>
          <w:tcPr/>
          <w:p>
            <w:pPr>
              <w:pStyle w:val="Compact"/>
              <w:jc w:val="left"/>
            </w:pPr>
            <w:r>
              <w:t xml:space="preserve">kg</w:t>
            </w:r>
          </w:p>
        </w:tc>
        <w:tc>
          <w:tcPr/>
          <w:p>
            <w:pPr>
              <w:pStyle w:val="Compact"/>
              <w:jc w:val="left"/>
            </w:pPr>
            <w:r>
              <w:t xml:space="preserve">7.5</w:t>
            </w:r>
          </w:p>
        </w:tc>
        <w:tc>
          <w:tcPr/>
          <w:p>
            <w:pPr>
              <w:pStyle w:val="Compact"/>
              <w:jc w:val="left"/>
            </w:pPr>
            <w:r>
              <w:t xml:space="preserve">3.75</w:t>
            </w:r>
          </w:p>
        </w:tc>
      </w:tr>
      <w:tr>
        <w:tc>
          <w:tcPr/>
          <w:p>
            <w:pPr>
              <w:pStyle w:val="Compact"/>
              <w:jc w:val="left"/>
            </w:pPr>
            <w:r>
              <w:t xml:space="preserve">M2</w:t>
            </w:r>
          </w:p>
        </w:tc>
        <w:tc>
          <w:tcPr/>
          <w:p>
            <w:pPr>
              <w:pStyle w:val="Compact"/>
              <w:jc w:val="left"/>
            </w:pPr>
            <w:r>
              <w:t xml:space="preserve">Polycarbonate Diffuser</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3.0</w:t>
            </w:r>
          </w:p>
        </w:tc>
        <w:tc>
          <w:tcPr/>
          <w:p>
            <w:pPr>
              <w:pStyle w:val="Compact"/>
              <w:jc w:val="left"/>
            </w:pPr>
            <w:r>
              <w:t xml:space="preserve">0.30</w:t>
            </w:r>
          </w:p>
        </w:tc>
      </w:tr>
      <w:tr>
        <w:tc>
          <w:tcPr/>
          <w:p>
            <w:pPr>
              <w:pStyle w:val="Compact"/>
              <w:jc w:val="left"/>
            </w:pPr>
            <w:r>
              <w:t xml:space="preserve">M3</w:t>
            </w:r>
          </w:p>
        </w:tc>
        <w:tc>
          <w:tcPr/>
          <w:p>
            <w:pPr>
              <w:pStyle w:val="Compact"/>
              <w:jc w:val="left"/>
            </w:pPr>
            <w:r>
              <w:t xml:space="preserve">LED Chipset</w:t>
            </w:r>
          </w:p>
        </w:tc>
        <w:tc>
          <w:tcPr/>
          <w:p>
            <w:pPr>
              <w:pStyle w:val="Compact"/>
              <w:jc w:val="left"/>
            </w:pPr>
            <w:r>
              <w:t xml:space="preserve">Electronic</w:t>
            </w:r>
          </w:p>
        </w:tc>
        <w:tc>
          <w:tcPr/>
          <w:p>
            <w:pPr>
              <w:pStyle w:val="Compact"/>
              <w:jc w:val="left"/>
            </w:pPr>
            <w:r>
              <w:t xml:space="preserve">Semiconductor Mfg.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25.0</w:t>
            </w:r>
          </w:p>
        </w:tc>
        <w:tc>
          <w:tcPr/>
          <w:p>
            <w:pPr>
              <w:pStyle w:val="Compact"/>
              <w:jc w:val="left"/>
            </w:pPr>
            <w:r>
              <w:t xml:space="preserve">1.25</w:t>
            </w:r>
          </w:p>
        </w:tc>
      </w:tr>
      <w:tr>
        <w:tc>
          <w:tcPr/>
          <w:p>
            <w:pPr>
              <w:pStyle w:val="Compact"/>
              <w:jc w:val="left"/>
            </w:pPr>
            <w:r>
              <w:t xml:space="preserve">M4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Primary Copper Prod.</w:t>
            </w:r>
          </w:p>
        </w:tc>
        <w:tc>
          <w:tcPr/>
          <w:p>
            <w:pPr>
              <w:pStyle w:val="Compact"/>
              <w:jc w:val="left"/>
            </w:pPr>
            <w:r>
              <w:t xml:space="preserve">0.02</w:t>
            </w:r>
          </w:p>
        </w:tc>
        <w:tc>
          <w:tcPr/>
          <w:p>
            <w:pPr>
              <w:pStyle w:val="Compact"/>
              <w:jc w:val="left"/>
            </w:pPr>
            <w:r>
              <w:t xml:space="preserve">kg</w:t>
            </w:r>
          </w:p>
        </w:tc>
        <w:tc>
          <w:tcPr/>
          <w:p>
            <w:pPr>
              <w:pStyle w:val="Compact"/>
              <w:jc w:val="left"/>
            </w:pPr>
            <w:r>
              <w:t xml:space="preserve">2.5</w:t>
            </w:r>
          </w:p>
        </w:tc>
        <w:tc>
          <w:tcPr/>
          <w:p>
            <w:pPr>
              <w:pStyle w:val="Compact"/>
              <w:jc w:val="left"/>
            </w:pPr>
            <w:r>
              <w:t xml:space="preserve">0.05</w:t>
            </w:r>
          </w:p>
        </w:tc>
      </w:tr>
      <w:tr>
        <w:tc>
          <w:tcPr/>
          <w:p>
            <w:pPr>
              <w:pStyle w:val="Compact"/>
              <w:jc w:val="left"/>
            </w:pPr>
            <w:r>
              <w:t xml:space="preserve">M5</w:t>
            </w:r>
          </w:p>
        </w:tc>
        <w:tc>
          <w:tcPr/>
          <w:p>
            <w:pPr>
              <w:pStyle w:val="Compact"/>
              <w:jc w:val="left"/>
            </w:pPr>
            <w:r>
              <w:t xml:space="preserve">Printed Circuit Board</w:t>
            </w:r>
          </w:p>
        </w:tc>
        <w:tc>
          <w:tcPr/>
          <w:p>
            <w:pPr>
              <w:pStyle w:val="Compact"/>
              <w:jc w:val="left"/>
            </w:pPr>
            <w:r>
              <w:t xml:space="preserve">Electronic</w:t>
            </w:r>
          </w:p>
        </w:tc>
        <w:tc>
          <w:tcPr/>
          <w:p>
            <w:pPr>
              <w:pStyle w:val="Compact"/>
              <w:jc w:val="left"/>
            </w:pPr>
            <w:r>
              <w:t xml:space="preserve">PCB Assembly</w:t>
            </w:r>
          </w:p>
        </w:tc>
        <w:tc>
          <w:tcPr/>
          <w:p>
            <w:pPr>
              <w:pStyle w:val="Compact"/>
              <w:jc w:val="left"/>
            </w:pPr>
            <w:r>
              <w:t xml:space="preserve">0.03</w:t>
            </w:r>
          </w:p>
        </w:tc>
        <w:tc>
          <w:tcPr/>
          <w:p>
            <w:pPr>
              <w:pStyle w:val="Compact"/>
              <w:jc w:val="left"/>
            </w:pPr>
            <w:r>
              <w:t xml:space="preserve">kg</w:t>
            </w:r>
          </w:p>
        </w:tc>
        <w:tc>
          <w:tcPr/>
          <w:p>
            <w:pPr>
              <w:pStyle w:val="Compact"/>
              <w:jc w:val="left"/>
            </w:pPr>
            <w:r>
              <w:t xml:space="preserve">15.0</w:t>
            </w:r>
          </w:p>
        </w:tc>
        <w:tc>
          <w:tcPr/>
          <w:p>
            <w:pPr>
              <w:pStyle w:val="Compact"/>
              <w:jc w:val="left"/>
            </w:pPr>
            <w:r>
              <w:t xml:space="preserve">0.45</w:t>
            </w:r>
          </w:p>
        </w:tc>
      </w:tr>
      <w:tr>
        <w:tc>
          <w:tcPr/>
          <w:p>
            <w:pPr>
              <w:pStyle w:val="Compact"/>
              <w:jc w:val="left"/>
            </w:pPr>
            <w:r>
              <w:t xml:space="preserve">M6</w:t>
            </w:r>
          </w:p>
        </w:tc>
        <w:tc>
          <w:tcPr/>
          <w:p>
            <w:pPr>
              <w:pStyle w:val="Compact"/>
              <w:jc w:val="left"/>
            </w:pPr>
            <w:r>
              <w:t xml:space="preserve">Packaging (Recycled Cardboard)</w:t>
            </w:r>
          </w:p>
        </w:tc>
        <w:tc>
          <w:tcPr/>
          <w:p>
            <w:pPr>
              <w:pStyle w:val="Compact"/>
              <w:jc w:val="left"/>
            </w:pPr>
            <w:r>
              <w:t xml:space="preserve">Paper</w:t>
            </w:r>
          </w:p>
        </w:tc>
        <w:tc>
          <w:tcPr/>
          <w:p>
            <w:pPr>
              <w:pStyle w:val="Compact"/>
              <w:jc w:val="left"/>
            </w:pPr>
            <w:r>
              <w:t xml:space="preserve">Recycled Cardboard Prod.</w:t>
            </w:r>
          </w:p>
        </w:tc>
        <w:tc>
          <w:tcPr/>
          <w:p>
            <w:pPr>
              <w:pStyle w:val="Compact"/>
              <w:jc w:val="left"/>
            </w:pPr>
            <w:r>
              <w:t xml:space="preserve">0.2</w:t>
            </w:r>
          </w:p>
        </w:tc>
        <w:tc>
          <w:tcPr/>
          <w:p>
            <w:pPr>
              <w:pStyle w:val="Compact"/>
              <w:jc w:val="left"/>
            </w:pPr>
            <w:r>
              <w:t xml:space="preserve">kg</w:t>
            </w:r>
          </w:p>
        </w:tc>
        <w:tc>
          <w:tcPr/>
          <w:p>
            <w:pPr>
              <w:pStyle w:val="Compact"/>
              <w:jc w:val="left"/>
            </w:pPr>
            <w:r>
              <w:t xml:space="preserve">0.5</w:t>
            </w:r>
          </w:p>
        </w:tc>
        <w:tc>
          <w:tcPr/>
          <w:p>
            <w:pPr>
              <w:pStyle w:val="Compact"/>
              <w:jc w:val="left"/>
            </w:pPr>
            <w:r>
              <w:t xml:space="preserve">0.10</w:t>
            </w:r>
          </w:p>
        </w:tc>
      </w:tr>
    </w:tbl>
    <w:p>
      <w:pPr>
        <w:pStyle w:val="BodyText"/>
      </w:pPr>
      <w:r>
        <w:rPr>
          <w:bCs/>
          <w:b/>
        </w:rPr>
        <w:t xml:space="preserve">Total Material Carbon from BOM:</w:t>
      </w:r>
      <w:r>
        <w:t xml:space="preserve"> </w:t>
      </w:r>
      <w:r>
        <w:t xml:space="preserve">3.75 + 0.30 + 1.25 + 0.05 + 0.45 + 0.10 =</w:t>
      </w:r>
      <w:r>
        <w:t xml:space="preserve"> </w:t>
      </w:r>
      <w:r>
        <w:rPr>
          <w:bCs/>
          <w:b/>
        </w:rPr>
        <w:t xml:space="preserve">5.90 kg CO2e</w:t>
      </w:r>
    </w:p>
    <w:bookmarkEnd w:id="28"/>
    <w:bookmarkStart w:id="29" w:name="production-energy-inputs"/>
    <w:p>
      <w:pPr>
        <w:pStyle w:val="Heading3"/>
      </w:pPr>
      <w:r>
        <w:t xml:space="preserve">2.2 Production Energy Inputs</w:t>
      </w:r>
    </w:p>
    <w:p>
      <w:pPr>
        <w:numPr>
          <w:ilvl w:val="0"/>
          <w:numId w:val="1002"/>
        </w:numPr>
        <w:pStyle w:val="Compact"/>
      </w:pPr>
      <w:r>
        <w:rPr>
          <w:bCs/>
          <w:b/>
        </w:rPr>
        <w:t xml:space="preserve">Energy Intensity (kWh/unit):</w:t>
      </w:r>
      <w:r>
        <w:t xml:space="preserve"> </w:t>
      </w:r>
      <w:r>
        <w:t xml:space="preserve">12 kWh/unit (towmrfmpzp)</w:t>
      </w:r>
    </w:p>
    <w:p>
      <w:pPr>
        <w:numPr>
          <w:ilvl w:val="0"/>
          <w:numId w:val="1002"/>
        </w:numPr>
        <w:pStyle w:val="Compact"/>
      </w:pPr>
      <w:r>
        <w:rPr>
          <w:bCs/>
          <w:b/>
        </w:rPr>
        <w:t xml:space="preserve">Renewable Energy Usage:</w:t>
      </w:r>
      <w:r>
        <w:t xml:space="preserve"> </w:t>
      </w:r>
      <w:r>
        <w:t xml:space="preserve">60% (kxsxunxupz) - This implies 40% of electricity is sourced from the grid mix.</w:t>
      </w:r>
    </w:p>
    <w:p>
      <w:pPr>
        <w:pStyle w:val="FirstParagraph"/>
      </w:pPr>
      <w:r>
        <w:t xml:space="preserve">Assuming the final production country is China, the grid electricity emission factor for China is crucial.</w:t>
      </w:r>
    </w:p>
    <w:p>
      <w:pPr>
        <w:pStyle w:val="BodyText"/>
      </w:pPr>
      <w:r>
        <w:t xml:space="preserve">**China Grid Emission Factor (Example):** For this analysis, an average grid electricity emission factor for China is taken as 0.556 kg CO2e/kWh. Some sources report it as 0.6205 kg CO2e/kWh for 2023, or 0.577 kg CO2e/MWh (0.577 kg CO2e/kWh), or 0.6093 kg CO2/kWh for 2021. We will use 0.556 kg CO2e/kWh for consistency with available data.</w:t>
      </w:r>
    </w:p>
    <w:bookmarkEnd w:id="29"/>
    <w:bookmarkStart w:id="30" w:name="logistics-data"/>
    <w:p>
      <w:pPr>
        <w:pStyle w:val="Heading3"/>
      </w:pPr>
      <w:r>
        <w:t xml:space="preserve">2.3 Logistics Data</w:t>
      </w:r>
    </w:p>
    <w:p>
      <w:pPr>
        <w:pStyle w:val="FirstParagraph"/>
      </w:pPr>
      <w:r>
        <w:t xml:space="preserve">The product, weighing approximately 0.9 kg (sum of BOM items, assuming product weight ~1.0 kg including packaging for transport efficiency), undergoes the following transport stages:</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Stage</w:t>
            </w:r>
          </w:p>
        </w:tc>
        <w:tc>
          <w:tcPr/>
          <w:p>
            <w:pPr>
              <w:pStyle w:val="Compact"/>
              <w:jc w:val="left"/>
            </w:pPr>
            <w:r>
              <w:t xml:space="preserve">Transport Mode</w:t>
            </w:r>
          </w:p>
        </w:tc>
        <w:tc>
          <w:tcPr/>
          <w:p>
            <w:pPr>
              <w:pStyle w:val="Compact"/>
              <w:jc w:val="left"/>
            </w:pPr>
            <w:r>
              <w:t xml:space="preserve">Distance (km)</w:t>
            </w:r>
          </w:p>
        </w:tc>
        <w:tc>
          <w:tcPr/>
          <w:p>
            <w:pPr>
              <w:pStyle w:val="Compact"/>
              <w:jc w:val="left"/>
            </w:pPr>
            <w:r>
              <w:t xml:space="preserve">Notes</w:t>
            </w:r>
          </w:p>
        </w:tc>
        <w:tc>
          <w:tcPr/>
          <w:p>
            <w:pPr>
              <w:pStyle w:val="Compact"/>
              <w:jc w:val="left"/>
            </w:pPr>
            <w:r>
              <w:t xml:space="preserve">Emission Factor (kg CO2e/tonne-km or kg CO2e/km)</w:t>
            </w:r>
          </w:p>
        </w:tc>
      </w:tr>
      <w:tr>
        <w:tc>
          <w:tcPr/>
          <w:p>
            <w:pPr>
              <w:pStyle w:val="Compact"/>
              <w:jc w:val="left"/>
            </w:pPr>
            <w:r>
              <w:t xml:space="preserve">Upstream (Components to Factory)</w:t>
            </w:r>
          </w:p>
        </w:tc>
        <w:tc>
          <w:tcPr/>
          <w:p>
            <w:pPr>
              <w:pStyle w:val="Compact"/>
              <w:jc w:val="left"/>
            </w:pPr>
            <w:r>
              <w:t xml:space="preserve">Road Freight (Heavy Duty Truck)</w:t>
            </w:r>
          </w:p>
        </w:tc>
        <w:tc>
          <w:tcPr/>
          <w:p>
            <w:pPr>
              <w:pStyle w:val="Compact"/>
              <w:jc w:val="left"/>
            </w:pPr>
            <w:r>
              <w:t xml:space="preserve">500 km (avg.)</w:t>
            </w:r>
          </w:p>
        </w:tc>
        <w:tc>
          <w:tcPr/>
          <w:p>
            <w:pPr>
              <w:pStyle w:val="Compact"/>
              <w:jc w:val="left"/>
            </w:pPr>
            <w:r>
              <w:t xml:space="preserve">Within China for component delivery.</w:t>
            </w:r>
          </w:p>
        </w:tc>
        <w:tc>
          <w:tcPr/>
          <w:p>
            <w:pPr>
              <w:pStyle w:val="Compact"/>
              <w:jc w:val="left"/>
            </w:pPr>
            <w:r>
              <w:t xml:space="preserve">0.09 kg CO2e/tonne-km</w:t>
            </w:r>
          </w:p>
        </w:tc>
      </w:tr>
      <w:tr>
        <w:tc>
          <w:tcPr/>
          <w:p>
            <w:pPr>
              <w:pStyle w:val="Compact"/>
              <w:jc w:val="left"/>
            </w:pPr>
            <w:r>
              <w:t xml:space="preserve">Downstream (Factory to Europe Distribution Hub)</w:t>
            </w:r>
          </w:p>
        </w:tc>
        <w:tc>
          <w:tcPr/>
          <w:p>
            <w:pPr>
              <w:pStyle w:val="Compact"/>
              <w:jc w:val="left"/>
            </w:pPr>
            <w:r>
              <w:t xml:space="preserve">Ocean Freight (Container Ship)</w:t>
            </w:r>
          </w:p>
        </w:tc>
        <w:tc>
          <w:tcPr/>
          <w:p>
            <w:pPr>
              <w:pStyle w:val="Compact"/>
              <w:jc w:val="left"/>
            </w:pPr>
            <w:r>
              <w:t xml:space="preserve">18,000 km</w:t>
            </w:r>
          </w:p>
        </w:tc>
        <w:tc>
          <w:tcPr/>
          <w:p>
            <w:pPr>
              <w:pStyle w:val="Compact"/>
              <w:jc w:val="left"/>
            </w:pPr>
            <w:r>
              <w:t xml:space="preserve">From China to European port.</w:t>
            </w:r>
          </w:p>
        </w:tc>
        <w:tc>
          <w:tcPr/>
          <w:p>
            <w:pPr>
              <w:pStyle w:val="Compact"/>
              <w:jc w:val="left"/>
            </w:pPr>
            <w:r>
              <w:t xml:space="preserve">0.016 kg CO2e/tonne-km</w:t>
            </w:r>
          </w:p>
        </w:tc>
      </w:tr>
      <w:tr>
        <w:tc>
          <w:tcPr/>
          <w:p>
            <w:pPr>
              <w:pStyle w:val="Compact"/>
              <w:jc w:val="left"/>
            </w:pPr>
            <w:r>
              <w:t xml:space="preserve">Downstream (Distribution Hub to Local Hub)</w:t>
            </w:r>
          </w:p>
        </w:tc>
        <w:tc>
          <w:tcPr/>
          <w:p>
            <w:pPr>
              <w:pStyle w:val="Compact"/>
              <w:jc w:val="left"/>
            </w:pPr>
            <w:r>
              <w:t xml:space="preserve">Road Freight (Heavy Duty Truck)</w:t>
            </w:r>
          </w:p>
        </w:tc>
        <w:tc>
          <w:tcPr/>
          <w:p>
            <w:pPr>
              <w:pStyle w:val="Compact"/>
              <w:jc w:val="left"/>
            </w:pPr>
            <w:r>
              <w:t xml:space="preserve">800 km</w:t>
            </w:r>
          </w:p>
        </w:tc>
        <w:tc>
          <w:tcPr/>
          <w:p>
            <w:pPr>
              <w:pStyle w:val="Compact"/>
              <w:jc w:val="left"/>
            </w:pPr>
            <w:r>
              <w:t xml:space="preserve">Within Europe.</w:t>
            </w:r>
          </w:p>
        </w:tc>
        <w:tc>
          <w:tcPr/>
          <w:p>
            <w:pPr>
              <w:pStyle w:val="Compact"/>
              <w:jc w:val="left"/>
            </w:pPr>
            <w:r>
              <w:t xml:space="preserve">0.09 kg CO2e/tonne-km</w:t>
            </w:r>
          </w:p>
        </w:tc>
      </w:tr>
      <w:tr>
        <w:tc>
          <w:tcPr/>
          <w:p>
            <w:pPr>
              <w:pStyle w:val="Compact"/>
              <w:jc w:val="left"/>
            </w:pPr>
            <w:r>
              <w:t xml:space="preserve">Last-Mile Delivery</w:t>
            </w:r>
          </w:p>
        </w:tc>
        <w:tc>
          <w:tcPr/>
          <w:p>
            <w:pPr>
              <w:pStyle w:val="Compact"/>
              <w:jc w:val="left"/>
            </w:pPr>
            <w:r>
              <w:t xml:space="preserve">Parcel Delivery (Van)</w:t>
            </w:r>
          </w:p>
        </w:tc>
        <w:tc>
          <w:tcPr/>
          <w:p>
            <w:pPr>
              <w:pStyle w:val="Compact"/>
              <w:jc w:val="left"/>
            </w:pPr>
            <w:r>
              <w:t xml:space="preserve">50 km</w:t>
            </w:r>
          </w:p>
        </w:tc>
        <w:tc>
          <w:tcPr/>
          <w:p>
            <w:pPr>
              <w:pStyle w:val="Compact"/>
              <w:jc w:val="left"/>
            </w:pPr>
            <w:r>
              <w:t xml:space="preserve">From local hub to end-customer.</w:t>
            </w:r>
          </w:p>
        </w:tc>
        <w:tc>
          <w:tcPr/>
          <w:p>
            <w:pPr>
              <w:pStyle w:val="Compact"/>
              <w:jc w:val="left"/>
            </w:pPr>
            <w:r>
              <w:t xml:space="preserve">0.249 kg CO2e/km</w:t>
            </w:r>
          </w:p>
        </w:tc>
      </w:tr>
    </w:tbl>
    <w:p>
      <w:pPr>
        <w:pStyle w:val="BodyText"/>
      </w:pPr>
      <w:r>
        <w:t xml:space="preserve">Product weight for transport calculation: Approximately 1.0 kg (0.001 tonne).</w:t>
      </w:r>
    </w:p>
    <w:bookmarkEnd w:id="30"/>
    <w:bookmarkStart w:id="31" w:name="use-phase-data"/>
    <w:p>
      <w:pPr>
        <w:pStyle w:val="Heading3"/>
      </w:pPr>
      <w:r>
        <w:t xml:space="preserve">2.4 Use Phase Data</w:t>
      </w:r>
    </w:p>
    <w:p>
      <w:pPr>
        <w:numPr>
          <w:ilvl w:val="0"/>
          <w:numId w:val="1003"/>
        </w:numPr>
        <w:pStyle w:val="Compact"/>
      </w:pPr>
      <w:r>
        <w:rPr>
          <w:bCs/>
          <w:b/>
        </w:rPr>
        <w:t xml:space="preserve">Product Lifespan (ffjyisfdqh):</w:t>
      </w:r>
      <w:r>
        <w:t xml:space="preserve"> </w:t>
      </w:r>
      <w:r>
        <w:t xml:space="preserve">8 years</w:t>
      </w:r>
    </w:p>
    <w:p>
      <w:pPr>
        <w:numPr>
          <w:ilvl w:val="0"/>
          <w:numId w:val="1003"/>
        </w:numPr>
        <w:pStyle w:val="Compact"/>
      </w:pPr>
      <w:r>
        <w:rPr>
          <w:bCs/>
          <w:b/>
        </w:rPr>
        <w:t xml:space="preserve">Energy Consumption in Use (etfopdmoiu):</w:t>
      </w:r>
      <w:r>
        <w:t xml:space="preserve"> </w:t>
      </w:r>
      <w:r>
        <w:t xml:space="preserve">3 kWh/year</w:t>
      </w:r>
    </w:p>
    <w:p>
      <w:pPr>
        <w:pStyle w:val="FirstParagraph"/>
      </w:pPr>
      <w:r>
        <w:t xml:space="preserve">The product is assumed to be used in Europe. Therefore, the European electricity grid mix emission factor is used for the use phase.</w:t>
      </w:r>
    </w:p>
    <w:p>
      <w:pPr>
        <w:pStyle w:val="BodyText"/>
      </w:pPr>
      <w:r>
        <w:t xml:space="preserve">**Europe Grid Emission Factor (Example):** For this analysis, an average grid electricity emission factor for the EU-27 in 2020 was 0.254 kg CO2/kWhel. Another source indicates 0.12177 kg CO2e/kWh for Belgium in 2022. We will use an average of 0.25 kg CO2e/kWh for the European grid mix for the use phase.</w:t>
      </w:r>
    </w:p>
    <w:bookmarkEnd w:id="31"/>
    <w:bookmarkStart w:id="32" w:name="end-of-life-eol-scenarios"/>
    <w:p>
      <w:pPr>
        <w:pStyle w:val="Heading3"/>
      </w:pPr>
      <w:r>
        <w:t xml:space="preserve">2.5 End-of-Life (EoL) Scenarios</w:t>
      </w:r>
    </w:p>
    <w:p>
      <w:pPr>
        <w:numPr>
          <w:ilvl w:val="0"/>
          <w:numId w:val="1004"/>
        </w:numPr>
        <w:pStyle w:val="Compact"/>
      </w:pPr>
      <w:r>
        <w:rPr>
          <w:bCs/>
          <w:b/>
        </w:rPr>
        <w:t xml:space="preserve">Recyclability Percentage (ydjeuyenxe):</w:t>
      </w:r>
      <w:r>
        <w:t xml:space="preserve"> </w:t>
      </w:r>
      <w:r>
        <w:t xml:space="preserve">90%</w:t>
      </w:r>
    </w:p>
    <w:p>
      <w:pPr>
        <w:numPr>
          <w:ilvl w:val="0"/>
          <w:numId w:val="1004"/>
        </w:numPr>
        <w:pStyle w:val="Compact"/>
      </w:pPr>
      <w:r>
        <w:rPr>
          <w:bCs/>
          <w:b/>
        </w:rPr>
        <w:t xml:space="preserve">Circular/Take-back Programs (owolrhhngr):</w:t>
      </w:r>
      <w:r>
        <w:t xml:space="preserve"> </w:t>
      </w:r>
      <w:r>
        <w:t xml:space="preserve">Manufacturer-managed recycling and refurbishment program for end-of-life units.</w:t>
      </w:r>
    </w:p>
    <w:p>
      <w:pPr>
        <w:pStyle w:val="FirstParagraph"/>
      </w:pPr>
      <w:r>
        <w:t xml:space="preserve">The product\'s total material weight (excluding packaging, for EoL) is approximately 0.7 kg. (0.5+0.1+0.05+0.02+0.03 = 0.7 kg).</w:t>
      </w:r>
    </w:p>
    <w:p>
      <w:pPr>
        <w:pStyle w:val="BodyText"/>
      </w:pPr>
      <w:r>
        <w:t xml:space="preserve">**Waste Disposal Emission Factor (Landfill, Example):** General waste to landfill with gas recovery: 0.203 kg CO2e/kg. Some sources indicate 0.033 kg CO2e/kg for plastic waste to landfill. We will use 0.2 kg CO2e/kg as a general factor for non-recycled components.</w:t>
      </w:r>
    </w:p>
    <w:p>
      <w:pPr>
        <w:pStyle w:val="BodyText"/>
      </w:pPr>
      <w:r>
        <w:t xml:space="preserve">**Recycling Process Emission Factor (Example):** Recycling can reduce emissions by up to 30%. Some sources show recycling of plastics can result in 0.202 kg CO2e/kg or 0.631 to 0.741 kg CO2/kg of PET recycled. Other factors are as low as 0.00469 kg/t (0.00000469 kg/kg) for closed-loop plastic recycling (transport only). We will consider the emissions associated with the recycling process as a net impact, focusing on the avoided burden of virgin material. For calculation, we will use a conservative net recycling burden of 0.1 kg CO2e/kg for the 90% recycled portion, and the landfill factor for the remaining 10%.</w:t>
      </w:r>
    </w:p>
    <w:p>
      <w:r>
        <w:pict>
          <v:rect style="width:0;height:1.5pt" o:hralign="center" o:hrstd="t" o:hr="t"/>
        </w:pict>
      </w:r>
    </w:p>
    <w:bookmarkEnd w:id="32"/>
    <w:bookmarkEnd w:id="33"/>
    <w:bookmarkStart w:id="45" w:name="X439a6e6dcb43c636bf515ffaf3f59bce0bd6490"/>
    <w:p>
      <w:pPr>
        <w:pStyle w:val="Heading2"/>
      </w:pPr>
      <w:r>
        <w:t xml:space="preserve">4. Emission Calculation (Activity * Emission Factor = CO2e)</w:t>
      </w:r>
    </w:p>
    <w:p>
      <w:pPr>
        <w:pStyle w:val="FirstParagraph"/>
      </w:pPr>
      <w:r>
        <w:t xml:space="preserve">This section details the calculation of GHG emissions across the product lifecycle, categorized by GHG Protocol scopes.</w:t>
      </w:r>
    </w:p>
    <w:bookmarkStart w:id="34" w:name="scope-1-direct-emissions"/>
    <w:p>
      <w:pPr>
        <w:pStyle w:val="Heading3"/>
      </w:pPr>
      <w:r>
        <w:t xml:space="preserve">4.1 Scope 1: Direct Emissions</w:t>
      </w:r>
    </w:p>
    <w:p>
      <w:pPr>
        <w:pStyle w:val="FirstParagraph"/>
      </w:pPr>
      <w:r>
        <w:t xml:space="preserve">For a product carbon footprint focused on the factory gate as the primary boundary and then extending to the full life cycle, Scope 1 emissions typically refer to direct emissions from manufacturing processes at the reporting company\'s owned or controlled facilities. For the production of an LED lighting fixture, direct emissions (e.g., from on-site fuel combustion for heating or specific chemical processes) are often minimal compared to indirect emissions from purchased electricity and upstream/downstream activities.</w:t>
      </w:r>
    </w:p>
    <w:p>
      <w:pPr>
        <w:pStyle w:val="BodyText"/>
      </w:pPr>
      <w:r>
        <w:rPr>
          <w:bCs/>
          <w:b/>
        </w:rPr>
        <w:t xml:space="preserve">Assumption:</w:t>
      </w:r>
      <w:r>
        <w:t xml:space="preserve"> </w:t>
      </w:r>
      <w:r>
        <w:t xml:space="preserve">For this High-Efficiency LED Lighting Fixture, it is assumed that direct Scope 1 emissions from the manufacturing facility in China (e.g., from on-site combustion for process heat not covered by electricity) are negligible or already implicitly covered by the material emission factors at their point of manufacture. If detailed operational fuel consumption data were available, it would be included here.</w:t>
      </w:r>
    </w:p>
    <w:p>
      <w:pPr>
        <w:pStyle w:val="BodyText"/>
      </w:pPr>
      <w:r>
        <w:rPr>
          <w:bCs/>
          <w:b/>
        </w:rPr>
        <w:t xml:space="preserve">Total Scope 1 Emissions: 0.00 kg CO2e</w:t>
      </w:r>
      <w:r>
        <w:t xml:space="preserve"> </w:t>
      </w:r>
      <w:r>
        <w:t xml:space="preserve">(Assumed negligible for this product\'s assembly processes).</w:t>
      </w:r>
    </w:p>
    <w:bookmarkEnd w:id="34"/>
    <w:bookmarkStart w:id="35" w:name="scope-2-purchased-energy-emissions"/>
    <w:p>
      <w:pPr>
        <w:pStyle w:val="Heading3"/>
      </w:pPr>
      <w:r>
        <w:t xml:space="preserve">4.2 Scope 2: Purchased Energy Emissions</w:t>
      </w:r>
    </w:p>
    <w:p>
      <w:pPr>
        <w:pStyle w:val="FirstParagraph"/>
      </w:pPr>
      <w:r>
        <w:t xml:space="preserve">These emissions result from the generation of purchased electricity consumed by InnovateTech Solutions Inc. (upnukxsydo) for the assembly of tgoixmthkk in China.</w:t>
      </w:r>
    </w:p>
    <w:p>
      <w:pPr>
        <w:numPr>
          <w:ilvl w:val="0"/>
          <w:numId w:val="1005"/>
        </w:numPr>
        <w:pStyle w:val="Compact"/>
      </w:pPr>
      <w:r>
        <w:t xml:space="preserve">Energy Intensity: 12 kWh/unit</w:t>
      </w:r>
    </w:p>
    <w:p>
      <w:pPr>
        <w:numPr>
          <w:ilvl w:val="0"/>
          <w:numId w:val="1005"/>
        </w:numPr>
        <w:pStyle w:val="Compact"/>
      </w:pPr>
      <w:r>
        <w:t xml:space="preserve">Renewable Energy Usage: 60%</w:t>
      </w:r>
    </w:p>
    <w:p>
      <w:pPr>
        <w:numPr>
          <w:ilvl w:val="0"/>
          <w:numId w:val="1005"/>
        </w:numPr>
        <w:pStyle w:val="Compact"/>
      </w:pPr>
      <w:r>
        <w:t xml:space="preserve">Grid Electricity Consumption: 12 kWh/unit * (1 - 0.60) = 4.8 kWh/unit</w:t>
      </w:r>
    </w:p>
    <w:p>
      <w:pPr>
        <w:numPr>
          <w:ilvl w:val="0"/>
          <w:numId w:val="1005"/>
        </w:numPr>
        <w:pStyle w:val="Compact"/>
      </w:pPr>
      <w:r>
        <w:t xml:space="preserve">China Grid Emission Factor: 0.556 kg CO2e/kWh</w:t>
      </w:r>
    </w:p>
    <w:p>
      <w:pPr>
        <w:pStyle w:val="FirstParagraph"/>
      </w:pPr>
      <w:r>
        <w:rPr>
          <w:bCs/>
          <w:b/>
        </w:rPr>
        <w:t xml:space="preserve">Calculation:</w:t>
      </w:r>
      <w:r>
        <w:t xml:space="preserve"> </w:t>
      </w:r>
      <w:r>
        <w:t xml:space="preserve">4.8 kWh/unit * 0.556 kg CO2e/kWh =</w:t>
      </w:r>
      <w:r>
        <w:t xml:space="preserve"> </w:t>
      </w:r>
      <w:r>
        <w:rPr>
          <w:bCs/>
          <w:b/>
        </w:rPr>
        <w:t xml:space="preserve">2.67 kg CO2e</w:t>
      </w:r>
    </w:p>
    <w:p>
      <w:pPr>
        <w:pStyle w:val="BodyText"/>
      </w:pPr>
      <w:r>
        <w:rPr>
          <w:bCs/>
          <w:b/>
        </w:rPr>
        <w:t xml:space="preserve">Total Scope 2 Emissions: 2.67 kg CO2e</w:t>
      </w:r>
    </w:p>
    <w:bookmarkEnd w:id="35"/>
    <w:bookmarkStart w:id="41" w:name="scope-3-value-chain-emissions"/>
    <w:p>
      <w:pPr>
        <w:pStyle w:val="Heading3"/>
      </w:pPr>
      <w:r>
        <w:t xml:space="preserve">4.3 Scope 3: Value Chain Emissions</w:t>
      </w:r>
    </w:p>
    <w:p>
      <w:pPr>
        <w:pStyle w:val="FirstParagraph"/>
      </w:pPr>
      <w:r>
        <w:t xml:space="preserve">Scope 3 emissions constitute the majority of a product\'s carbon footprint and are broken down by relevant GHG Protocol categories.</w:t>
      </w:r>
    </w:p>
    <w:bookmarkStart w:id="36" w:name="Xab9729a0caae076ca89f2f71668734f92723cf2"/>
    <w:p>
      <w:pPr>
        <w:pStyle w:val="Heading4"/>
      </w:pPr>
      <w:r>
        <w:t xml:space="preserve">4.3.1 Category 1: Purchased Goods and Services (Materials)</w:t>
      </w:r>
    </w:p>
    <w:p>
      <w:pPr>
        <w:pStyle w:val="FirstParagraph"/>
      </w:pPr>
      <w:r>
        <w:t xml:space="preserve">These are the upstream (cradle-to-gate) emissions associated with the production of raw materials and components, as provided in the Detailed Bill of Materials.</w:t>
      </w:r>
    </w:p>
    <w:p>
      <w:pPr>
        <w:numPr>
          <w:ilvl w:val="0"/>
          <w:numId w:val="1006"/>
        </w:numPr>
        <w:pStyle w:val="Compact"/>
      </w:pPr>
      <w:r>
        <w:t xml:space="preserve">Total Carbon from BOM: 5.90 kg CO2e</w:t>
      </w:r>
    </w:p>
    <w:p>
      <w:pPr>
        <w:pStyle w:val="FirstParagraph"/>
      </w:pPr>
      <w:r>
        <w:rPr>
          <w:bCs/>
          <w:b/>
        </w:rPr>
        <w:t xml:space="preserve">Total Scope 3, Category 1 Emissions: 5.90 kg CO2e</w:t>
      </w:r>
    </w:p>
    <w:bookmarkEnd w:id="36"/>
    <w:bookmarkStart w:id="37" w:name="X6669a43143349c25ec93e775eebde43de53a73c"/>
    <w:p>
      <w:pPr>
        <w:pStyle w:val="Heading4"/>
      </w:pPr>
      <w:r>
        <w:t xml:space="preserve">4.3.2 Category 4: Upstream Transportation and Distribution</w:t>
      </w:r>
    </w:p>
    <w:p>
      <w:pPr>
        <w:pStyle w:val="FirstParagraph"/>
      </w:pPr>
      <w:r>
        <w:t xml:space="preserve">Emissions from transporting components to the final assembly plant in China.</w:t>
      </w:r>
    </w:p>
    <w:p>
      <w:pPr>
        <w:numPr>
          <w:ilvl w:val="0"/>
          <w:numId w:val="1007"/>
        </w:numPr>
        <w:pStyle w:val="Compact"/>
      </w:pPr>
      <w:r>
        <w:t xml:space="preserve">Product Mass (Components, average for transport): 0.7 kg (0.0007 tonne)</w:t>
      </w:r>
    </w:p>
    <w:p>
      <w:pPr>
        <w:numPr>
          <w:ilvl w:val="0"/>
          <w:numId w:val="1007"/>
        </w:numPr>
        <w:pStyle w:val="Compact"/>
      </w:pPr>
      <w:r>
        <w:t xml:space="preserve">Distance: 500 km</w:t>
      </w:r>
    </w:p>
    <w:p>
      <w:pPr>
        <w:numPr>
          <w:ilvl w:val="0"/>
          <w:numId w:val="1007"/>
        </w:numPr>
        <w:pStyle w:val="Compact"/>
      </w:pPr>
      <w:r>
        <w:t xml:space="preserve">Transport Mode: Road Freight (Heavy Duty Truck)</w:t>
      </w:r>
    </w:p>
    <w:p>
      <w:pPr>
        <w:numPr>
          <w:ilvl w:val="0"/>
          <w:numId w:val="1007"/>
        </w:numPr>
        <w:pStyle w:val="Compact"/>
      </w:pPr>
      <w:r>
        <w:t xml:space="preserve">Emission Factor: 0.09 kg CO2e/tonne-km</w:t>
      </w:r>
    </w:p>
    <w:p>
      <w:pPr>
        <w:pStyle w:val="FirstParagraph"/>
      </w:pPr>
      <w:r>
        <w:rPr>
          <w:bCs/>
          <w:b/>
        </w:rPr>
        <w:t xml:space="preserve">Calculation:</w:t>
      </w:r>
      <w:r>
        <w:t xml:space="preserve"> </w:t>
      </w:r>
      <w:r>
        <w:t xml:space="preserve">0.0007 tonne * 500 km * 0.09 kg CO2e/tonne-km =</w:t>
      </w:r>
      <w:r>
        <w:t xml:space="preserve"> </w:t>
      </w:r>
      <w:r>
        <w:rPr>
          <w:bCs/>
          <w:b/>
        </w:rPr>
        <w:t xml:space="preserve">0.03 kg CO2e</w:t>
      </w:r>
    </w:p>
    <w:p>
      <w:pPr>
        <w:pStyle w:val="BodyText"/>
      </w:pPr>
      <w:r>
        <w:rPr>
          <w:bCs/>
          <w:b/>
        </w:rPr>
        <w:t xml:space="preserve">Total Scope 3, Category 4 Emissions: 0.03 kg CO2e</w:t>
      </w:r>
    </w:p>
    <w:bookmarkEnd w:id="37"/>
    <w:bookmarkStart w:id="38" w:name="X25a0837e2ca53a982bfb6f58a50970139f4f25f"/>
    <w:p>
      <w:pPr>
        <w:pStyle w:val="Heading4"/>
      </w:pPr>
      <w:r>
        <w:t xml:space="preserve">4.3.3 Category 9: Downstream Transportation and Distribution</w:t>
      </w:r>
    </w:p>
    <w:p>
      <w:pPr>
        <w:pStyle w:val="FirstParagraph"/>
      </w:pPr>
      <w:r>
        <w:t xml:space="preserve">Emissions from transporting the finished product from the factory to the end-customer in Europe.</w:t>
      </w:r>
    </w:p>
    <w:p>
      <w:pPr>
        <w:numPr>
          <w:ilvl w:val="0"/>
          <w:numId w:val="1008"/>
        </w:numPr>
        <w:pStyle w:val="Compact"/>
      </w:pPr>
      <w:r>
        <w:t xml:space="preserve">Product Mass (including packaging): 1.0 kg (0.001 tonne)</w:t>
      </w:r>
    </w:p>
    <w:p>
      <w:pPr>
        <w:numPr>
          <w:ilvl w:val="0"/>
          <w:numId w:val="1008"/>
        </w:numPr>
        <w:pStyle w:val="Compact"/>
      </w:pPr>
      <w:r>
        <w:rPr>
          <w:bCs/>
          <w:b/>
        </w:rPr>
        <w:t xml:space="preserve">Ocean Freight (Factory to European Hub):</w:t>
      </w:r>
    </w:p>
    <w:p>
      <w:pPr>
        <w:numPr>
          <w:ilvl w:val="1"/>
          <w:numId w:val="1009"/>
        </w:numPr>
        <w:pStyle w:val="Compact"/>
      </w:pPr>
      <w:r>
        <w:t xml:space="preserve">Distance: 18,000 km</w:t>
      </w:r>
    </w:p>
    <w:p>
      <w:pPr>
        <w:numPr>
          <w:ilvl w:val="1"/>
          <w:numId w:val="1009"/>
        </w:numPr>
        <w:pStyle w:val="Compact"/>
      </w:pPr>
      <w:r>
        <w:t xml:space="preserve">Emission Factor: 0.016 kg CO2e/tonne-km</w:t>
      </w:r>
    </w:p>
    <w:p>
      <w:pPr>
        <w:numPr>
          <w:ilvl w:val="1"/>
          <w:numId w:val="1009"/>
        </w:numPr>
        <w:pStyle w:val="Compact"/>
      </w:pPr>
      <w:r>
        <w:t xml:space="preserve">Calculation: 0.001 tonne * 18,000 km * 0.016 kg CO2e/tonne-km =</w:t>
      </w:r>
      <w:r>
        <w:t xml:space="preserve"> </w:t>
      </w:r>
      <w:r>
        <w:rPr>
          <w:bCs/>
          <w:b/>
        </w:rPr>
        <w:t xml:space="preserve">0.29 kg CO2e</w:t>
      </w:r>
    </w:p>
    <w:p>
      <w:pPr>
        <w:numPr>
          <w:ilvl w:val="0"/>
          <w:numId w:val="1008"/>
        </w:numPr>
        <w:pStyle w:val="Compact"/>
      </w:pPr>
      <w:r>
        <w:rPr>
          <w:bCs/>
          <w:b/>
        </w:rPr>
        <w:t xml:space="preserve">Road Freight (European Hub to Local Hub):</w:t>
      </w:r>
    </w:p>
    <w:p>
      <w:pPr>
        <w:numPr>
          <w:ilvl w:val="1"/>
          <w:numId w:val="1010"/>
        </w:numPr>
        <w:pStyle w:val="Compact"/>
      </w:pPr>
      <w:r>
        <w:t xml:space="preserve">Distance: 800 km</w:t>
      </w:r>
    </w:p>
    <w:p>
      <w:pPr>
        <w:numPr>
          <w:ilvl w:val="1"/>
          <w:numId w:val="1010"/>
        </w:numPr>
        <w:pStyle w:val="Compact"/>
      </w:pPr>
      <w:r>
        <w:t xml:space="preserve">Emission Factor: 0.09 kg CO2e/tonne-km</w:t>
      </w:r>
    </w:p>
    <w:p>
      <w:pPr>
        <w:numPr>
          <w:ilvl w:val="1"/>
          <w:numId w:val="1010"/>
        </w:numPr>
        <w:pStyle w:val="Compact"/>
      </w:pPr>
      <w:r>
        <w:t xml:space="preserve">Calculation: 0.001 tonne * 800 km * 0.09 kg CO2e/tonne-km =</w:t>
      </w:r>
      <w:r>
        <w:t xml:space="preserve"> </w:t>
      </w:r>
      <w:r>
        <w:rPr>
          <w:bCs/>
          <w:b/>
        </w:rPr>
        <w:t xml:space="preserve">0.07 kg CO2e</w:t>
      </w:r>
    </w:p>
    <w:p>
      <w:pPr>
        <w:numPr>
          <w:ilvl w:val="0"/>
          <w:numId w:val="1008"/>
        </w:numPr>
        <w:pStyle w:val="Compact"/>
      </w:pPr>
      <w:r>
        <w:rPr>
          <w:bCs/>
          <w:b/>
        </w:rPr>
        <w:t xml:space="preserve">Last-Mile Delivery (Local Hub to Customer):</w:t>
      </w:r>
    </w:p>
    <w:p>
      <w:pPr>
        <w:numPr>
          <w:ilvl w:val="1"/>
          <w:numId w:val="1011"/>
        </w:numPr>
        <w:pStyle w:val="Compact"/>
      </w:pPr>
      <w:r>
        <w:t xml:space="preserve">Distance: 50 km</w:t>
      </w:r>
    </w:p>
    <w:p>
      <w:pPr>
        <w:numPr>
          <w:ilvl w:val="1"/>
          <w:numId w:val="1011"/>
        </w:numPr>
        <w:pStyle w:val="Compact"/>
      </w:pPr>
      <w:r>
        <w:t xml:space="preserve">Transport Mode: Parcel Delivery (Van)</w:t>
      </w:r>
    </w:p>
    <w:p>
      <w:pPr>
        <w:numPr>
          <w:ilvl w:val="1"/>
          <w:numId w:val="1011"/>
        </w:numPr>
        <w:pStyle w:val="Compact"/>
      </w:pPr>
      <w:r>
        <w:t xml:space="preserve">Emission Factor: 0.249 kg CO2e/km (Note: This factor is per km, not per tonne-km, assuming it accounts for average parcel weight in a van\'s total load for last-mile scenario)</w:t>
      </w:r>
    </w:p>
    <w:p>
      <w:pPr>
        <w:numPr>
          <w:ilvl w:val="1"/>
          <w:numId w:val="1011"/>
        </w:numPr>
        <w:pStyle w:val="Compact"/>
      </w:pPr>
      <w:r>
        <w:t xml:space="preserve">Calculation: 50 km * 0.249 kg CO2e/km =</w:t>
      </w:r>
      <w:r>
        <w:t xml:space="preserve"> </w:t>
      </w:r>
      <w:r>
        <w:rPr>
          <w:bCs/>
          <w:b/>
        </w:rPr>
        <w:t xml:space="preserve">12.45 kg CO2e</w:t>
      </w:r>
    </w:p>
    <w:p>
      <w:pPr>
        <w:pStyle w:val="FirstParagraph"/>
      </w:pPr>
      <w:r>
        <w:rPr>
          <w:bCs/>
          <w:b/>
        </w:rPr>
        <w:t xml:space="preserve">Total Scope 3, Category 9 Emissions:</w:t>
      </w:r>
      <w:r>
        <w:t xml:space="preserve"> </w:t>
      </w:r>
      <w:r>
        <w:t xml:space="preserve">0.29 + 0.07 + 12.45 =</w:t>
      </w:r>
      <w:r>
        <w:t xml:space="preserve"> </w:t>
      </w:r>
      <w:r>
        <w:rPr>
          <w:bCs/>
          <w:b/>
        </w:rPr>
        <w:t xml:space="preserve">12.81 kg CO2e</w:t>
      </w:r>
    </w:p>
    <w:bookmarkEnd w:id="38"/>
    <w:bookmarkStart w:id="39" w:name="category-11-use-of-sold-products"/>
    <w:p>
      <w:pPr>
        <w:pStyle w:val="Heading4"/>
      </w:pPr>
      <w:r>
        <w:t xml:space="preserve">4.3.4 Category 11: Use of Sold Products</w:t>
      </w:r>
    </w:p>
    <w:p>
      <w:pPr>
        <w:pStyle w:val="FirstParagraph"/>
      </w:pPr>
      <w:r>
        <w:t xml:space="preserve">Emissions from electricity consumption during the product\'s lifespan in Europe.</w:t>
      </w:r>
    </w:p>
    <w:p>
      <w:pPr>
        <w:numPr>
          <w:ilvl w:val="0"/>
          <w:numId w:val="1012"/>
        </w:numPr>
        <w:pStyle w:val="Compact"/>
      </w:pPr>
      <w:r>
        <w:t xml:space="preserve">Product Lifespan: 8 years</w:t>
      </w:r>
    </w:p>
    <w:p>
      <w:pPr>
        <w:numPr>
          <w:ilvl w:val="0"/>
          <w:numId w:val="1012"/>
        </w:numPr>
        <w:pStyle w:val="Compact"/>
      </w:pPr>
      <w:r>
        <w:t xml:space="preserve">Energy Consumption: 3 kWh/year</w:t>
      </w:r>
    </w:p>
    <w:p>
      <w:pPr>
        <w:numPr>
          <w:ilvl w:val="0"/>
          <w:numId w:val="1012"/>
        </w:numPr>
        <w:pStyle w:val="Compact"/>
      </w:pPr>
      <w:r>
        <w:t xml:space="preserve">Total Energy Consumption: 8 years * 3 kWh/year = 24 kWh</w:t>
      </w:r>
    </w:p>
    <w:p>
      <w:pPr>
        <w:numPr>
          <w:ilvl w:val="0"/>
          <w:numId w:val="1012"/>
        </w:numPr>
        <w:pStyle w:val="Compact"/>
      </w:pPr>
      <w:r>
        <w:t xml:space="preserve">European Grid Emission Factor: 0.25 kg CO2e/kWh</w:t>
      </w:r>
    </w:p>
    <w:p>
      <w:pPr>
        <w:pStyle w:val="FirstParagraph"/>
      </w:pPr>
      <w:r>
        <w:rPr>
          <w:bCs/>
          <w:b/>
        </w:rPr>
        <w:t xml:space="preserve">Calculation:</w:t>
      </w:r>
      <w:r>
        <w:t xml:space="preserve"> </w:t>
      </w:r>
      <w:r>
        <w:t xml:space="preserve">24 kWh * 0.25 kg CO2e/kWh =</w:t>
      </w:r>
      <w:r>
        <w:t xml:space="preserve"> </w:t>
      </w:r>
      <w:r>
        <w:rPr>
          <w:bCs/>
          <w:b/>
        </w:rPr>
        <w:t xml:space="preserve">6.00 kg CO2e</w:t>
      </w:r>
    </w:p>
    <w:p>
      <w:pPr>
        <w:pStyle w:val="BodyText"/>
      </w:pPr>
      <w:r>
        <w:rPr>
          <w:bCs/>
          <w:b/>
        </w:rPr>
        <w:t xml:space="preserve">Total Scope 3, Category 11 Emissions: 6.00 kg CO2e</w:t>
      </w:r>
    </w:p>
    <w:bookmarkEnd w:id="39"/>
    <w:bookmarkStart w:id="40" w:name="X9f66eef2700632e081dfe139021cb724ffcd2c5"/>
    <w:p>
      <w:pPr>
        <w:pStyle w:val="Heading4"/>
      </w:pPr>
      <w:r>
        <w:t xml:space="preserve">4.3.5 Category 12: End-of-Life Treatment of Sold Products</w:t>
      </w:r>
    </w:p>
    <w:p>
      <w:pPr>
        <w:pStyle w:val="FirstParagraph"/>
      </w:pPr>
      <w:r>
        <w:t xml:space="preserve">Emissions associated with the disposal and recycling of the product at the end of its life.</w:t>
      </w:r>
    </w:p>
    <w:p>
      <w:pPr>
        <w:numPr>
          <w:ilvl w:val="0"/>
          <w:numId w:val="1013"/>
        </w:numPr>
        <w:pStyle w:val="Compact"/>
      </w:pPr>
      <w:r>
        <w:t xml:space="preserve">Product Material Weight (excl. packaging): 0.7 kg</w:t>
      </w:r>
    </w:p>
    <w:p>
      <w:pPr>
        <w:numPr>
          <w:ilvl w:val="0"/>
          <w:numId w:val="1013"/>
        </w:numPr>
        <w:pStyle w:val="Compact"/>
      </w:pPr>
      <w:r>
        <w:t xml:space="preserve">Recyclability Percentage: 90%</w:t>
      </w:r>
    </w:p>
    <w:p>
      <w:pPr>
        <w:numPr>
          <w:ilvl w:val="0"/>
          <w:numId w:val="1013"/>
        </w:numPr>
        <w:pStyle w:val="Compact"/>
      </w:pPr>
      <w:r>
        <w:t xml:space="preserve">Non-recycled portion: 10% (0.07 kg)</w:t>
      </w:r>
    </w:p>
    <w:p>
      <w:pPr>
        <w:numPr>
          <w:ilvl w:val="0"/>
          <w:numId w:val="1013"/>
        </w:numPr>
        <w:pStyle w:val="Compact"/>
      </w:pPr>
      <w:r>
        <w:t xml:space="preserve">Recycled portion: 90% (0.63 kg)</w:t>
      </w:r>
    </w:p>
    <w:p>
      <w:pPr>
        <w:numPr>
          <w:ilvl w:val="0"/>
          <w:numId w:val="1013"/>
        </w:numPr>
        <w:pStyle w:val="Compact"/>
      </w:pPr>
      <w:r>
        <w:t xml:space="preserve">Waste to Landfill Emission Factor: 0.2 kg CO2e/kg</w:t>
      </w:r>
    </w:p>
    <w:p>
      <w:pPr>
        <w:numPr>
          <w:ilvl w:val="0"/>
          <w:numId w:val="1013"/>
        </w:numPr>
        <w:pStyle w:val="Compact"/>
      </w:pPr>
      <w:r>
        <w:t xml:space="preserve">Recycling Process Emission Factor (net impact): 0.1 kg CO2e/kg (Assumed average for materials, accounting for energy use in recycling minus avoided virgin production)</w:t>
      </w:r>
    </w:p>
    <w:p>
      <w:pPr>
        <w:pStyle w:val="FirstParagraph"/>
      </w:pPr>
      <w:r>
        <w:rPr>
          <w:bCs/>
          <w:b/>
        </w:rPr>
        <w:t xml:space="preserve">Calculation:</w:t>
      </w:r>
    </w:p>
    <w:p>
      <w:pPr>
        <w:numPr>
          <w:ilvl w:val="0"/>
          <w:numId w:val="1014"/>
        </w:numPr>
        <w:pStyle w:val="Compact"/>
      </w:pPr>
      <w:r>
        <w:t xml:space="preserve">Non-recycled (Landfill): 0.07 kg * 0.2 kg CO2e/kg = 0.014 kg CO2e</w:t>
      </w:r>
    </w:p>
    <w:p>
      <w:pPr>
        <w:numPr>
          <w:ilvl w:val="0"/>
          <w:numId w:val="1014"/>
        </w:numPr>
        <w:pStyle w:val="Compact"/>
      </w:pPr>
      <w:r>
        <w:t xml:space="preserve">Recycled (Processing): 0.63 kg * 0.1 kg CO2e/kg = 0.063 kg CO2e</w:t>
      </w:r>
    </w:p>
    <w:p>
      <w:pPr>
        <w:pStyle w:val="FirstParagraph"/>
      </w:pPr>
      <w:r>
        <w:rPr>
          <w:bCs/>
          <w:b/>
        </w:rPr>
        <w:t xml:space="preserve">Total Scope 3, Category 12 Emissions:</w:t>
      </w:r>
      <w:r>
        <w:t xml:space="preserve"> </w:t>
      </w:r>
      <w:r>
        <w:t xml:space="preserve">0.014 + 0.063 =</w:t>
      </w:r>
      <w:r>
        <w:t xml:space="preserve"> </w:t>
      </w:r>
      <w:r>
        <w:rPr>
          <w:bCs/>
          <w:b/>
        </w:rPr>
        <w:t xml:space="preserve">0.08 kg CO2e</w:t>
      </w:r>
    </w:p>
    <w:bookmarkEnd w:id="40"/>
    <w:bookmarkEnd w:id="41"/>
    <w:bookmarkStart w:id="42" w:name="total-product-carbon-footprint-summary"/>
    <w:p>
      <w:pPr>
        <w:pStyle w:val="Heading3"/>
      </w:pPr>
      <w:r>
        <w:t xml:space="preserve">4.4 Total Product Carbon Footprint Summary</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Protocol Scope / Category</w:t>
            </w:r>
          </w:p>
        </w:tc>
        <w:tc>
          <w:tcPr/>
          <w:p>
            <w:pPr>
              <w:pStyle w:val="Compact"/>
              <w:jc w:val="left"/>
            </w:pPr>
            <w:r>
              <w:t xml:space="preserve">Description</w:t>
            </w:r>
          </w:p>
        </w:tc>
        <w:tc>
          <w:tcPr/>
          <w:p>
            <w:pPr>
              <w:pStyle w:val="Compact"/>
              <w:jc w:val="left"/>
            </w:pPr>
            <w:r>
              <w:t xml:space="preserve">Emissions (kg CO2e)</w:t>
            </w:r>
          </w:p>
        </w:tc>
        <w:tc>
          <w:tcPr/>
          <w:p>
            <w:pPr>
              <w:pStyle w:val="Compact"/>
              <w:jc w:val="left"/>
            </w:pPr>
            <w:r>
              <w:t xml:space="preserve">Percentage of Total</w:t>
            </w:r>
          </w:p>
        </w:tc>
      </w:tr>
      <w:tr>
        <w:tc>
          <w:tcPr/>
          <w:p>
            <w:pPr>
              <w:pStyle w:val="Compact"/>
              <w:jc w:val="left"/>
            </w:pPr>
            <w:r>
              <w:rPr>
                <w:bCs/>
                <w:b/>
              </w:rPr>
              <w:t xml:space="preserve">Scope 1</w:t>
            </w:r>
          </w:p>
        </w:tc>
        <w:tc>
          <w:tcPr/>
          <w:p>
            <w:pPr>
              <w:pStyle w:val="Compact"/>
              <w:jc w:val="left"/>
            </w:pPr>
            <w:r>
              <w:t xml:space="preserve">Direct Emissions (Manufacturing Facility)</w:t>
            </w:r>
          </w:p>
        </w:tc>
        <w:tc>
          <w:tcPr/>
          <w:p>
            <w:pPr>
              <w:pStyle w:val="Compact"/>
              <w:jc w:val="left"/>
            </w:pPr>
            <w:r>
              <w:t xml:space="preserve">0.00</w:t>
            </w:r>
          </w:p>
        </w:tc>
        <w:tc>
          <w:tcPr/>
          <w:p>
            <w:pPr>
              <w:pStyle w:val="Compact"/>
              <w:jc w:val="left"/>
            </w:pPr>
            <w:r>
              <w:t xml:space="preserve">0.0%</w:t>
            </w:r>
          </w:p>
        </w:tc>
      </w:tr>
      <w:tr>
        <w:tc>
          <w:tcPr/>
          <w:p>
            <w:pPr>
              <w:pStyle w:val="Compact"/>
              <w:jc w:val="left"/>
            </w:pPr>
            <w:r>
              <w:rPr>
                <w:bCs/>
                <w:b/>
              </w:rPr>
              <w:t xml:space="preserve">Scope 2</w:t>
            </w:r>
          </w:p>
        </w:tc>
        <w:tc>
          <w:tcPr/>
          <w:p>
            <w:pPr>
              <w:pStyle w:val="Compact"/>
              <w:jc w:val="left"/>
            </w:pPr>
            <w:r>
              <w:t xml:space="preserve">Purchased Electricity (Manufacturing Facility in China)</w:t>
            </w:r>
          </w:p>
        </w:tc>
        <w:tc>
          <w:tcPr/>
          <w:p>
            <w:pPr>
              <w:pStyle w:val="Compact"/>
              <w:jc w:val="left"/>
            </w:pPr>
            <w:r>
              <w:t xml:space="preserve">2.67</w:t>
            </w:r>
          </w:p>
        </w:tc>
        <w:tc>
          <w:tcPr/>
          <w:p>
            <w:pPr>
              <w:pStyle w:val="Compact"/>
              <w:jc w:val="left"/>
            </w:pPr>
            <w:r>
              <w:t xml:space="preserve">9.3%</w:t>
            </w:r>
          </w:p>
        </w:tc>
      </w:tr>
      <w:tr>
        <w:tc>
          <w:tcPr>
            <w:gridSpan w:val="3"/>
          </w:tcPr>
          <w:p>
            <w:pPr>
              <w:pStyle w:val="Compact"/>
              <w:jc w:val="left"/>
            </w:pPr>
            <w:r>
              <w:rPr>
                <w:bCs/>
                <w:b/>
              </w:rPr>
              <w:t xml:space="preserve">Scope 3: Value Chain Emissions</w:t>
            </w:r>
          </w:p>
        </w:tc>
        <w:tc>
          <w:tcPr/>
          <w:p>
            <w:pPr>
              <w:pStyle w:val="Compact"/>
            </w:pPr>
          </w:p>
        </w:tc>
      </w:tr>
      <w:tr>
        <w:tc>
          <w:tcPr/>
          <w:p>
            <w:pPr>
              <w:pStyle w:val="Compact"/>
              <w:jc w:val="left"/>
            </w:pPr>
            <w:r>
              <w:t xml:space="preserve">    Category 1</w:t>
            </w:r>
          </w:p>
        </w:tc>
        <w:tc>
          <w:tcPr/>
          <w:p>
            <w:pPr>
              <w:pStyle w:val="Compact"/>
              <w:jc w:val="left"/>
            </w:pPr>
            <w:r>
              <w:t xml:space="preserve">Purchased Goods and Services (Materials from BOM)</w:t>
            </w:r>
          </w:p>
        </w:tc>
        <w:tc>
          <w:tcPr/>
          <w:p>
            <w:pPr>
              <w:pStyle w:val="Compact"/>
              <w:jc w:val="left"/>
            </w:pPr>
            <w:r>
              <w:t xml:space="preserve">5.90</w:t>
            </w:r>
          </w:p>
        </w:tc>
        <w:tc>
          <w:tcPr/>
          <w:p>
            <w:pPr>
              <w:pStyle w:val="Compact"/>
              <w:jc w:val="left"/>
            </w:pPr>
            <w:r>
              <w:t xml:space="preserve">20.5%</w:t>
            </w:r>
          </w:p>
        </w:tc>
      </w:tr>
      <w:tr>
        <w:tc>
          <w:tcPr/>
          <w:p>
            <w:pPr>
              <w:pStyle w:val="Compact"/>
              <w:jc w:val="left"/>
            </w:pPr>
            <w:r>
              <w:t xml:space="preserve">    Category 4</w:t>
            </w:r>
          </w:p>
        </w:tc>
        <w:tc>
          <w:tcPr/>
          <w:p>
            <w:pPr>
              <w:pStyle w:val="Compact"/>
              <w:jc w:val="left"/>
            </w:pPr>
            <w:r>
              <w:t xml:space="preserve">Upstream Transportation and Distribution (Components to Factory)</w:t>
            </w:r>
          </w:p>
        </w:tc>
        <w:tc>
          <w:tcPr/>
          <w:p>
            <w:pPr>
              <w:pStyle w:val="Compact"/>
              <w:jc w:val="left"/>
            </w:pPr>
            <w:r>
              <w:t xml:space="preserve">0.03</w:t>
            </w:r>
          </w:p>
        </w:tc>
        <w:tc>
          <w:tcPr/>
          <w:p>
            <w:pPr>
              <w:pStyle w:val="Compact"/>
              <w:jc w:val="left"/>
            </w:pPr>
            <w:r>
              <w:t xml:space="preserve">0.1%</w:t>
            </w:r>
          </w:p>
        </w:tc>
      </w:tr>
      <w:tr>
        <w:tc>
          <w:tcPr/>
          <w:p>
            <w:pPr>
              <w:pStyle w:val="Compact"/>
              <w:jc w:val="left"/>
            </w:pPr>
            <w:r>
              <w:t xml:space="preserve">    Category 9</w:t>
            </w:r>
          </w:p>
        </w:tc>
        <w:tc>
          <w:tcPr/>
          <w:p>
            <w:pPr>
              <w:pStyle w:val="Compact"/>
              <w:jc w:val="left"/>
            </w:pPr>
            <w:r>
              <w:t xml:space="preserve">Downstream Transportation and Distribution (Factory to Customer)</w:t>
            </w:r>
          </w:p>
        </w:tc>
        <w:tc>
          <w:tcPr/>
          <w:p>
            <w:pPr>
              <w:pStyle w:val="Compact"/>
              <w:jc w:val="left"/>
            </w:pPr>
            <w:r>
              <w:t xml:space="preserve">12.81</w:t>
            </w:r>
          </w:p>
        </w:tc>
        <w:tc>
          <w:tcPr/>
          <w:p>
            <w:pPr>
              <w:pStyle w:val="Compact"/>
              <w:jc w:val="left"/>
            </w:pPr>
            <w:r>
              <w:t xml:space="preserve">44.5%</w:t>
            </w:r>
          </w:p>
        </w:tc>
      </w:tr>
      <w:tr>
        <w:tc>
          <w:tcPr/>
          <w:p>
            <w:pPr>
              <w:pStyle w:val="Compact"/>
              <w:jc w:val="left"/>
            </w:pPr>
            <w:r>
              <w:t xml:space="preserve">    Category 11</w:t>
            </w:r>
          </w:p>
        </w:tc>
        <w:tc>
          <w:tcPr/>
          <w:p>
            <w:pPr>
              <w:pStyle w:val="Compact"/>
              <w:jc w:val="left"/>
            </w:pPr>
            <w:r>
              <w:t xml:space="preserve">Use of Sold Products</w:t>
            </w:r>
          </w:p>
        </w:tc>
        <w:tc>
          <w:tcPr/>
          <w:p>
            <w:pPr>
              <w:pStyle w:val="Compact"/>
              <w:jc w:val="left"/>
            </w:pPr>
            <w:r>
              <w:t xml:space="preserve">6.00</w:t>
            </w:r>
          </w:p>
        </w:tc>
        <w:tc>
          <w:tcPr/>
          <w:p>
            <w:pPr>
              <w:pStyle w:val="Compact"/>
              <w:jc w:val="left"/>
            </w:pPr>
            <w:r>
              <w:t xml:space="preserve">20.8%</w:t>
            </w:r>
          </w:p>
        </w:tc>
      </w:tr>
      <w:tr>
        <w:tc>
          <w:tcPr/>
          <w:p>
            <w:pPr>
              <w:pStyle w:val="Compact"/>
              <w:jc w:val="left"/>
            </w:pPr>
            <w:r>
              <w:t xml:space="preserve">    Category 12</w:t>
            </w:r>
          </w:p>
        </w:tc>
        <w:tc>
          <w:tcPr/>
          <w:p>
            <w:pPr>
              <w:pStyle w:val="Compact"/>
              <w:jc w:val="left"/>
            </w:pPr>
            <w:r>
              <w:t xml:space="preserve">End-of-Life Treatment of Sold Products</w:t>
            </w:r>
          </w:p>
        </w:tc>
        <w:tc>
          <w:tcPr/>
          <w:p>
            <w:pPr>
              <w:pStyle w:val="Compact"/>
              <w:jc w:val="left"/>
            </w:pPr>
            <w:r>
              <w:t xml:space="preserve">0.08</w:t>
            </w:r>
          </w:p>
        </w:tc>
        <w:tc>
          <w:tcPr/>
          <w:p>
            <w:pPr>
              <w:pStyle w:val="Compact"/>
              <w:jc w:val="left"/>
            </w:pPr>
            <w:r>
              <w:t xml:space="preserve">0.3%</w:t>
            </w:r>
          </w:p>
        </w:tc>
      </w:tr>
      <w:tr>
        <w:tc>
          <w:tcPr>
            <w:gridSpan w:val="2"/>
          </w:tcPr>
          <w:p>
            <w:pPr>
              <w:pStyle w:val="Compact"/>
              <w:jc w:val="left"/>
            </w:pPr>
            <w:r>
              <w:rPr>
                <w:bCs/>
                <w:b/>
              </w:rPr>
              <w:t xml:space="preserve">TOTAL PRODUCT CARBON FOOTPRINT (per functional unit)</w:t>
            </w:r>
          </w:p>
        </w:tc>
        <w:tc>
          <w:tcPr/>
          <w:p>
            <w:pPr>
              <w:pStyle w:val="Compact"/>
              <w:jc w:val="left"/>
            </w:pPr>
            <w:r>
              <w:rPr>
                <w:bCs/>
                <w:b/>
              </w:rPr>
              <w:t xml:space="preserve">27.49 kg CO2e</w:t>
            </w:r>
          </w:p>
        </w:tc>
        <w:tc>
          <w:tcPr/>
          <w:p>
            <w:pPr>
              <w:pStyle w:val="Compact"/>
              <w:jc w:val="left"/>
            </w:pPr>
            <w:r>
              <w:rPr>
                <w:bCs/>
                <w:b/>
              </w:rPr>
              <w:t xml:space="preserve">100%</w:t>
            </w:r>
          </w:p>
        </w:tc>
      </w:tr>
    </w:tbl>
    <w:bookmarkEnd w:id="42"/>
    <w:bookmarkStart w:id="43" w:name="X439aeab12f653c5be8a9767687610423a65f1bc"/>
    <w:p>
      <w:pPr>
        <w:pStyle w:val="Heading3"/>
      </w:pPr>
      <w:r>
        <w:t xml:space="preserve">4.5 2026 LSR Update: Land Sector and Removals (LSR) Standard</w:t>
      </w:r>
    </w:p>
    <w:p>
      <w:pPr>
        <w:pStyle w:val="FirstParagraph"/>
      </w:pPr>
      <w:r>
        <w:t xml:space="preserve">The GHG Protocol\'s Land Sector and Removals (LSR) Standard is designed to account for land use, land-use change, and carbon removals. For industrial products like the High-Efficiency LED Lighting Fixture, the direct applicability of LSR is primarily through biomass-derived materials or land-intensive processes in the supply chain.</w:t>
      </w:r>
    </w:p>
    <w:p>
      <w:pPr>
        <w:pStyle w:val="BodyText"/>
      </w:pPr>
      <w:r>
        <w:rPr>
          <w:bCs/>
          <w:b/>
        </w:rPr>
        <w:t xml:space="preserve">Consideration:</w:t>
      </w:r>
      <w:r>
        <w:t xml:space="preserve"> </w:t>
      </w:r>
      <w:r>
        <w:t xml:space="preserve">In this analysis, the materials used (aluminum, polycarbonate, copper, silicon in LED/PCB) are not directly from biomass. However, the use of recycled cardboard for packaging acknowledges a material with land-use implications in its original virgin state. Should future BOMs include significant biomass, agricultural products, or forestry products, a more detailed assessment under the LSR Standard would be conducted to account for associated GHG fluxes, including biogenic carbon and carbon removals. For this specific product, direct LSR-related emissions/removals are considered negligible or already embedded within the material emission factors.</w:t>
      </w:r>
    </w:p>
    <w:bookmarkEnd w:id="43"/>
    <w:bookmarkStart w:id="44" w:name="scope-3-compliance-2026-requirements"/>
    <w:p>
      <w:pPr>
        <w:pStyle w:val="Heading3"/>
      </w:pPr>
      <w:r>
        <w:t xml:space="preserve">4.6 Scope 3 Compliance (2026 Requirements)</w:t>
      </w:r>
    </w:p>
    <w:p>
      <w:pPr>
        <w:pStyle w:val="FirstParagraph"/>
      </w:pPr>
      <w:r>
        <w:t xml:space="preserve">The 2026 GHG Protocol requirements emphasize achieving at least 95% coverage for Scope 3 reporting. This analysis has included all identifiable major Scope 3 categories: Purchased Goods and Services, Upstream Transportation, Downstream Transportation, Use of Sold Products, and End-of-Life Treatment. These categories collectively represent 90.7% (5.90 + 0.03 + 12.81 + 6.00 + 0.08 = 24.82 kg CO2e / 27.49 kg CO2e) of the total product carbon footprint.</w:t>
      </w:r>
    </w:p>
    <w:p>
      <w:pPr>
        <w:pStyle w:val="BodyText"/>
      </w:pPr>
      <w:r>
        <w:rPr>
          <w:bCs/>
          <w:b/>
        </w:rPr>
        <w:t xml:space="preserve">Compliance Statement:</w:t>
      </w:r>
      <w:r>
        <w:t xml:space="preserve"> </w:t>
      </w:r>
      <w:r>
        <w:t xml:space="preserve">The analysis aims for comprehensive Scope 3 coverage. The presented categories cover a significant majority of emissions. To achieve 95% or higher coverage, further granular data collection for minor inputs (e.g., small consumables in manufacturing, business travel for product development, waste from upstream suppliers) would be necessary in a live operational context. This report establishes a strong foundation, identifying the most impactful Scope 3 categories.</w:t>
      </w:r>
    </w:p>
    <w:p>
      <w:r>
        <w:pict>
          <v:rect style="width:0;height:1.5pt" o:hralign="center" o:hrstd="t" o:hr="t"/>
        </w:pict>
      </w:r>
    </w:p>
    <w:bookmarkEnd w:id="44"/>
    <w:bookmarkEnd w:id="45"/>
    <w:bookmarkStart w:id="49" w:name="review-report"/>
    <w:p>
      <w:pPr>
        <w:pStyle w:val="Heading2"/>
      </w:pPr>
      <w:r>
        <w:t xml:space="preserve">5. Review &amp; Report</w:t>
      </w:r>
    </w:p>
    <w:bookmarkStart w:id="46" w:name="emission-hotspots"/>
    <w:p>
      <w:pPr>
        <w:pStyle w:val="Heading3"/>
      </w:pPr>
      <w:r>
        <w:t xml:space="preserve">5.1 Emission Hotspots</w:t>
      </w:r>
    </w:p>
    <w:p>
      <w:pPr>
        <w:pStyle w:val="FirstParagraph"/>
      </w:pPr>
      <w:r>
        <w:t xml:space="preserve">Based on the calculations, the primary emission hotspots for the High-Efficiency LED Lighting Fixture (tgoixmthkk) are:</w:t>
      </w:r>
    </w:p>
    <w:p>
      <w:pPr>
        <w:numPr>
          <w:ilvl w:val="0"/>
          <w:numId w:val="1015"/>
        </w:numPr>
        <w:pStyle w:val="Compact"/>
      </w:pPr>
      <w:r>
        <w:rPr>
          <w:bCs/>
          <w:b/>
        </w:rPr>
        <w:t xml:space="preserve">Downstream Transportation (44.5%):</w:t>
      </w:r>
      <w:r>
        <w:t xml:space="preserve"> </w:t>
      </w:r>
      <w:r>
        <w:t xml:space="preserve">Last-mile delivery by van is a significant contributor due to its high emission factor per kilometer, despite the relatively short distance. Ocean freight also contributes substantially due to the long distance from China to Europe.</w:t>
      </w:r>
    </w:p>
    <w:p>
      <w:pPr>
        <w:numPr>
          <w:ilvl w:val="0"/>
          <w:numId w:val="1015"/>
        </w:numPr>
        <w:pStyle w:val="Compact"/>
      </w:pPr>
      <w:r>
        <w:rPr>
          <w:bCs/>
          <w:b/>
        </w:rPr>
        <w:t xml:space="preserve">Use of Sold Products (20.8%):</w:t>
      </w:r>
      <w:r>
        <w:t xml:space="preserve"> </w:t>
      </w:r>
      <w:r>
        <w:t xml:space="preserve">The electricity consumed during the product\'s 8-year lifespan, even with an efficient LED design, represents a notable portion of the total footprint, influenced by the European grid mix.</w:t>
      </w:r>
    </w:p>
    <w:p>
      <w:pPr>
        <w:numPr>
          <w:ilvl w:val="0"/>
          <w:numId w:val="1015"/>
        </w:numPr>
        <w:pStyle w:val="Compact"/>
      </w:pPr>
      <w:r>
        <w:rPr>
          <w:bCs/>
          <w:b/>
        </w:rPr>
        <w:t xml:space="preserve">Purchased Goods and Services (Materials) (20.5%):</w:t>
      </w:r>
      <w:r>
        <w:t xml:space="preserve"> </w:t>
      </w:r>
      <w:r>
        <w:t xml:space="preserve">The production of materials, especially the LED Chipset and Aluminum Casing, has a substantial impact due to their energy-intensive manufacturing processes.</w:t>
      </w:r>
    </w:p>
    <w:p>
      <w:pPr>
        <w:numPr>
          <w:ilvl w:val="0"/>
          <w:numId w:val="1015"/>
        </w:numPr>
        <w:pStyle w:val="Compact"/>
      </w:pPr>
      <w:r>
        <w:rPr>
          <w:bCs/>
          <w:b/>
        </w:rPr>
        <w:t xml:space="preserve">Purchased Electricity (Manufacturing) (9.3%):</w:t>
      </w:r>
      <w:r>
        <w:t xml:space="preserve"> </w:t>
      </w:r>
      <w:r>
        <w:t xml:space="preserve">Even with 60% renewable energy usage, the remaining grid electricity from China\'s grid mix contributes to the footprint.</w:t>
      </w:r>
    </w:p>
    <w:bookmarkEnd w:id="46"/>
    <w:bookmarkStart w:id="47" w:name="reliability-statement"/>
    <w:p>
      <w:pPr>
        <w:pStyle w:val="Heading3"/>
      </w:pPr>
      <w:r>
        <w:t xml:space="preserve">5.2 Reliability Statement</w:t>
      </w:r>
    </w:p>
    <w:p>
      <w:pPr>
        <w:pStyle w:val="FirstParagraph"/>
      </w:pPr>
      <w:r>
        <w:t xml:space="preserve">The reliability of this PCF analysis is contingent upon the accuracy and representativeness of the input data and emission factors used. The BOM data and specific parameters provided by InnovateTech Solutions Inc. (upnukxsydo) are considered primary data for the product\'s composition and manufacturing energy. Secondary emission factors for materials, transport, energy grids, and end-of-life scenarios are sourced from recognized industry databases (e.g., UK Government GHG Conversion Factors for Company Reporting, Climatiq, Ministry of Ecology and Environment of China). While these factors represent generally accepted averages, actual emissions may vary based on specific supplier practices, regional grid mixes at the time of consumption, and real-world transport efficiencies. The "factory_gate" system boundary for certain data points has been expanded to a full life cycle to meet the comprehensive PCF requirements.</w:t>
      </w:r>
    </w:p>
    <w:bookmarkEnd w:id="47"/>
    <w:bookmarkStart w:id="48" w:name="recommendations-for-emission-reduction"/>
    <w:p>
      <w:pPr>
        <w:pStyle w:val="Heading3"/>
      </w:pPr>
      <w:r>
        <w:t xml:space="preserve">5.3 Recommendations for Emission Reduction</w:t>
      </w:r>
    </w:p>
    <w:p>
      <w:pPr>
        <w:pStyle w:val="FirstParagraph"/>
      </w:pPr>
      <w:r>
        <w:t xml:space="preserve">To reduce the product\'s carbon footprint, InnovateTech Solutions Inc. (upnukxsydo) should consider the following actions:</w:t>
      </w:r>
    </w:p>
    <w:p>
      <w:pPr>
        <w:numPr>
          <w:ilvl w:val="0"/>
          <w:numId w:val="1016"/>
        </w:numPr>
        <w:pStyle w:val="Compact"/>
      </w:pPr>
      <w:r>
        <w:rPr>
          <w:bCs/>
          <w:b/>
        </w:rPr>
        <w:t xml:space="preserve">Optimize Downstream Logistics:</w:t>
      </w:r>
      <w:r>
        <w:t xml:space="preserve"> </w:t>
      </w:r>
      <w:r>
        <w:t xml:space="preserve">Investigate opportunities to optimize last-mile delivery, such as using electric vans or consolidating shipments. Explore more carbon-efficient transport modes for longer distances where feasible. Engage with logistics providers to ensure they are on decarbonization pathways.</w:t>
      </w:r>
    </w:p>
    <w:p>
      <w:pPr>
        <w:numPr>
          <w:ilvl w:val="0"/>
          <w:numId w:val="1016"/>
        </w:numPr>
        <w:pStyle w:val="Compact"/>
      </w:pPr>
      <w:r>
        <w:rPr>
          <w:bCs/>
          <w:b/>
        </w:rPr>
        <w:t xml:space="preserve">Enhance Product Energy Efficiency:</w:t>
      </w:r>
      <w:r>
        <w:t xml:space="preserve"> </w:t>
      </w:r>
      <w:r>
        <w:t xml:space="preserve">While already "High-Efficiency," continuous innovation in LED technology and power supply design can further reduce energy consumption during the use phase.</w:t>
      </w:r>
    </w:p>
    <w:p>
      <w:pPr>
        <w:numPr>
          <w:ilvl w:val="0"/>
          <w:numId w:val="1016"/>
        </w:numPr>
        <w:pStyle w:val="Compact"/>
      </w:pPr>
      <w:r>
        <w:rPr>
          <w:bCs/>
          <w:b/>
        </w:rPr>
        <w:t xml:space="preserve">Supply Chain Engagement for Materials:</w:t>
      </w:r>
      <w:r>
        <w:t xml:space="preserve"> </w:t>
      </w:r>
      <w:r>
        <w:t xml:space="preserve">Work with suppliers of high-impact components (LED Chipset, Aluminum) to encourage the use of lower-carbon production processes, increased recycled content, or alternative materials with lower footprints.</w:t>
      </w:r>
    </w:p>
    <w:p>
      <w:pPr>
        <w:numPr>
          <w:ilvl w:val="0"/>
          <w:numId w:val="1016"/>
        </w:numPr>
        <w:pStyle w:val="Compact"/>
      </w:pPr>
      <w:r>
        <w:rPr>
          <w:bCs/>
          <w:b/>
        </w:rPr>
        <w:t xml:space="preserve">Increase Renewable Energy Sourcing (Manufacturing):</w:t>
      </w:r>
      <w:r>
        <w:t xml:space="preserve"> </w:t>
      </w:r>
      <w:r>
        <w:t xml:space="preserve">Explore options for increasing renewable energy at the manufacturing facility in China, potentially through on-site generation or certified renewable energy purchases (e.g., I-RECs).</w:t>
      </w:r>
    </w:p>
    <w:p>
      <w:pPr>
        <w:numPr>
          <w:ilvl w:val="0"/>
          <w:numId w:val="1016"/>
        </w:numPr>
        <w:pStyle w:val="Compact"/>
      </w:pPr>
      <w:r>
        <w:rPr>
          <w:bCs/>
          <w:b/>
        </w:rPr>
        <w:t xml:space="preserve">Strengthen Circular Economy Practices:</w:t>
      </w:r>
      <w:r>
        <w:t xml:space="preserve"> </w:t>
      </w:r>
      <w:r>
        <w:t xml:space="preserve">Leverage the existing take-back program to ensure high-quality material recovery and refurbishment, and explore design for disassembly to maximize recycling efficiency.</w:t>
      </w:r>
    </w:p>
    <w:p>
      <w:r>
        <w:pict>
          <v:rect style="width:0;height:1.5pt" o:hralign="center" o:hrstd="t" o:hr="t"/>
        </w:pict>
      </w:r>
    </w:p>
    <w:p>
      <w:pPr>
        <w:pStyle w:val="FirstParagraph"/>
      </w:pPr>
      <w:r>
        <w:t xml:space="preserve">Confidential - Internal Use Only</w:t>
      </w:r>
    </w:p>
    <w:bookmarkEnd w:id="48"/>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High-Efficiency LED Lighting Fixture (tgoixmthkk)</dc:title>
  <dc:creator/>
  <dc:description>Detailed Product Carbon Footprint (PCF) analysis for the High-Efficiency LED Lighting Fixture (tgoixmthkk) by InnovateTech Solutions Inc. (upnukxsydo), adhering to GHG Protocol standards.</dc:description>
  <dc:language>en</dc:language>
  <cp:keywords/>
  <dcterms:created xsi:type="dcterms:W3CDTF">2026-05-30T22:14:23Z</dcterms:created>
  <dcterms:modified xsi:type="dcterms:W3CDTF">2026-05-30T22:14:23Z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