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hhxufxwtdz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hxufxwtdz"/>
    <w:p>
      <w:pPr>
        <w:pStyle w:val="Heading2"/>
      </w:pPr>
      <w:r>
        <w:t xml:space="preserve">Product: hhxufxwtdz</w:t>
      </w:r>
    </w:p>
    <w:p>
      <w:pPr>
        <w:pStyle w:val="FirstParagraph"/>
      </w:pPr>
      <w:r>
        <w:rPr>
          <w:bCs/>
          <w:b/>
        </w:rPr>
        <w:t xml:space="preserve">Company:</w:t>
      </w:r>
      <w:r>
        <w:t xml:space="preserve"> </w:t>
      </w:r>
      <w:r>
        <w:t xml:space="preserve">ikdpmdymed</w:t>
      </w:r>
    </w:p>
    <w:p>
      <w:pPr>
        <w:pStyle w:val="BodyText"/>
      </w:pPr>
      <w:r>
        <w:rPr>
          <w:bCs/>
          <w:b/>
        </w:rPr>
        <w:t xml:space="preserve">Senior Sustainability Consultant:</w:t>
      </w:r>
      <w:r>
        <w:t xml:space="preserve"> </w:t>
      </w:r>
      <w:r>
        <w:t xml:space="preserve">vehrxrfgmw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product\'s carbon footprint.</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Generated Date: May 27,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hhxufxwtdz</w:t>
      </w:r>
      <w:r>
        <w:t xml:space="preserve">, produced by</w:t>
      </w:r>
      <w:r>
        <w:t xml:space="preserve"> </w:t>
      </w:r>
      <w:r>
        <w:rPr>
          <w:bCs/>
          <w:b/>
        </w:rPr>
        <w:t xml:space="preserve">ikdpmdymed</w:t>
      </w:r>
      <w:r>
        <w:t xml:space="preserve">. Conducted by Senior Sustainability Consultant</w:t>
      </w:r>
      <w:r>
        <w:t xml:space="preserve"> </w:t>
      </w:r>
      <w:r>
        <w:rPr>
          <w:bCs/>
          <w:b/>
        </w:rPr>
        <w:t xml:space="preserve">vehrxrfgmw</w:t>
      </w:r>
      <w:r>
        <w:t xml:space="preserve">, this analysis adheres to the GHG Protocol Product Life Cycle Accounting and Reporting Standard. The study encompasses a "factory_gate" system boundary with a supply chain focus on Europe for materials and final production in China, extending to cover the entire product lifecycle from raw material acquisition to end-of-life. Special attention has been given to the anticipated 2026 updates for Scope 3 reporting and the Land Sector and Removals (LSR) Standard. The objective is to identify emissions hotspots, inform decarbonization strategies, and ensure compliance with evolving sustainability reporting requirements.</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hhxufxwtdz</w:t>
      </w:r>
      <w:r>
        <w:t xml:space="preserve"> </w:t>
      </w:r>
      <w:r>
        <w:t xml:space="preserve">has been calculated following the Greenhouse Gas Protocol Product Life Cycle Accounting and Reporting Standard. This widely recognized methodology provides a framework for quantifying and reporting greenhouse gas (GHG) emissions associated with a product throughout its lifecycle.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hhxufxwtdz</w:t>
      </w:r>
      <w:r>
        <w:t xml:space="preserve">. All emissions are quantified in relation to this functional unit to allow for clear comparability and aggregation.</w:t>
      </w:r>
    </w:p>
    <w:bookmarkEnd w:id="24"/>
    <w:bookmarkStart w:id="25" w:name="system-boundary"/>
    <w:p>
      <w:pPr>
        <w:pStyle w:val="Heading3"/>
      </w:pPr>
      <w:r>
        <w:t xml:space="preserve">1.2. System Boundary</w:t>
      </w:r>
    </w:p>
    <w:p>
      <w:pPr>
        <w:pStyle w:val="FirstParagraph"/>
      </w:pPr>
      <w:r>
        <w:t xml:space="preserve">This analysis adopts a "cradle-to-grave" approach, as implied by the inclusion of use phase and end-of-life scenarios, though the primary manufacturing assessment focuses on a "factory_gate" boundary for direct production impacts. This means emissions are accounted for from raw material extraction, through manufacturing, transportation, the product\'s use phase, and its end-of-life treatment.</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transport to China, and for product distribution/use in Europe).</w:t>
      </w:r>
    </w:p>
    <w:bookmarkEnd w:id="26"/>
    <w:bookmarkStart w:id="27" w:name="allocation"/>
    <w:p>
      <w:pPr>
        <w:pStyle w:val="Heading3"/>
      </w:pPr>
      <w:r>
        <w:t xml:space="preserve">1.4. Allocation</w:t>
      </w:r>
    </w:p>
    <w:p>
      <w:pPr>
        <w:pStyle w:val="FirstParagraph"/>
      </w:pPr>
      <w:r>
        <w:t xml:space="preserve">Where co-products or by-products exist, allocation methods consistent with GHG Protocol guidance are applied to ensure emissions are attributed fairly to</w:t>
      </w:r>
      <w:r>
        <w:t xml:space="preserve"> </w:t>
      </w:r>
      <w:r>
        <w:rPr>
          <w:bCs/>
          <w:b/>
        </w:rPr>
        <w:t xml:space="preserve">hhxufxwtdz</w:t>
      </w:r>
      <w:r>
        <w:t xml:space="preserve">. In the absence of specific co-product information for</w:t>
      </w:r>
      <w:r>
        <w:t xml:space="preserve"> </w:t>
      </w:r>
      <w:r>
        <w:rPr>
          <w:bCs/>
          <w:b/>
        </w:rPr>
        <w:t xml:space="preserve">hhxufxwtdz</w:t>
      </w:r>
      <w:r>
        <w:t xml:space="preserve">, this report assumes a direct allocation to the functional unit.</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w:t>
      </w:r>
      <w:r>
        <w:t xml:space="preserve"> </w:t>
      </w:r>
      <w:r>
        <w:rPr>
          <w:bCs/>
          <w:b/>
        </w:rPr>
        <w:t xml:space="preserve">hhxufxwtdz</w:t>
      </w:r>
      <w:r>
        <w:t xml:space="preserve"> </w:t>
      </w:r>
      <w:r>
        <w:t xml:space="preserve">is mapped across five key stages: Material Acquisition, Manufacturing, Transport (Upstream and Downstream), Use Phase, and End-of-Life. Data collection leverages primary data where available (e.g., BOM specifics, energy usage) and industry-average secondary data from reputable sources like Ecoinvent and DEFRA for generic emission factors.</w:t>
      </w:r>
    </w:p>
    <w:bookmarkStart w:id="29" w:name="X71f6b40095ea257d3fbde173997c4506e167e85"/>
    <w:p>
      <w:pPr>
        <w:pStyle w:val="Heading3"/>
      </w:pPr>
      <w:r>
        <w:t xml:space="preserve">2.1. Detailed Bill of Materials (BOM) &amp; Material Inputs (Scope 3, Category 1)</w:t>
      </w:r>
    </w:p>
    <w:p>
      <w:pPr>
        <w:pStyle w:val="FirstParagraph"/>
      </w:pPr>
      <w:r>
        <w:t xml:space="preserve">The following Bill of Materials (BOM) for</w:t>
      </w:r>
      <w:r>
        <w:t xml:space="preserve"> </w:t>
      </w:r>
      <w:r>
        <w:rPr>
          <w:bCs/>
          <w:b/>
        </w:rPr>
        <w:t xml:space="preserve">hhxufxwtdz</w:t>
      </w:r>
      <w:r>
        <w:t xml:space="preserve"> </w:t>
      </w:r>
      <w:r>
        <w:t xml:space="preserve">is used for high-accuracy material impact calculation. The \'Emission Factor\' and \'Total Carbon\' values provided for each item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0.240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1.375</w:t>
            </w:r>
          </w:p>
        </w:tc>
      </w:tr>
    </w:tbl>
    <w:p>
      <w:pPr>
        <w:pStyle w:val="BodyText"/>
      </w:pPr>
      <w:r>
        <w:rPr>
          <w:iCs/>
          <w:i/>
        </w:rPr>
        <w:t xml:space="preserve">Note: The BOM data provided (quithudj) was a placeholder. The table above uses illustrative sample values following the specified format for demonstration purposes.</w:t>
      </w:r>
    </w:p>
    <w:bookmarkEnd w:id="29"/>
    <w:bookmarkStart w:id="30" w:name="X10ab3767737024fe5b1a7ccac5da9f12be1f984"/>
    <w:p>
      <w:pPr>
        <w:pStyle w:val="Heading3"/>
      </w:pPr>
      <w:r>
        <w:t xml:space="preserve">2.2. Manufacturing Energy Inputs (Scope 2 &amp; Scope 3, Category 3)</w:t>
      </w:r>
    </w:p>
    <w:p>
      <w:pPr>
        <w:pStyle w:val="FirstParagraph"/>
      </w:pPr>
      <w:r>
        <w:t xml:space="preserve">Production of</w:t>
      </w:r>
      <w:r>
        <w:t xml:space="preserve"> </w:t>
      </w:r>
      <w:r>
        <w:rPr>
          <w:bCs/>
          <w:b/>
        </w:rPr>
        <w:t xml:space="preserve">hhxufxwtdz</w:t>
      </w:r>
      <w:r>
        <w:t xml:space="preserve"> </w:t>
      </w:r>
      <w:r>
        <w:t xml:space="preserve">occurs in China. The energy consumption and renewable energy usage are critical inputs for calculating the manufacturing phase footprint.</w:t>
      </w:r>
    </w:p>
    <w:p>
      <w:pPr>
        <w:numPr>
          <w:ilvl w:val="0"/>
          <w:numId w:val="1002"/>
        </w:numPr>
        <w:pStyle w:val="Compact"/>
      </w:pPr>
      <w:r>
        <w:rPr>
          <w:bCs/>
          <w:b/>
        </w:rPr>
        <w:t xml:space="preserve">Energy Intensity (kWh/unit):</w:t>
      </w:r>
      <w:r>
        <w:t xml:space="preserve"> </w:t>
      </w:r>
      <w:r>
        <w:t xml:space="preserve">dhvonnpuou (e.g., 8.5 kWh/unit)</w:t>
      </w:r>
    </w:p>
    <w:p>
      <w:pPr>
        <w:numPr>
          <w:ilvl w:val="0"/>
          <w:numId w:val="1002"/>
        </w:numPr>
        <w:pStyle w:val="Compact"/>
      </w:pPr>
      <w:r>
        <w:rPr>
          <w:bCs/>
          <w:b/>
        </w:rPr>
        <w:t xml:space="preserve">Renewable Energy Usage:</w:t>
      </w:r>
      <w:r>
        <w:t xml:space="preserve"> </w:t>
      </w:r>
      <w:r>
        <w:t xml:space="preserve">xudsktoiqo (e.g., 60%)</w:t>
      </w:r>
    </w:p>
    <w:p>
      <w:pPr>
        <w:pStyle w:val="FirstParagraph"/>
      </w:pPr>
      <w:r>
        <w:t xml:space="preserve">Assuming a grid emission factor for China of 0.57 kg CO2e/kWh (a representative value considering recent trends and official data).</w:t>
      </w:r>
    </w:p>
    <w:p>
      <w:pPr>
        <w:pStyle w:val="BodyText"/>
      </w:pPr>
      <w:r>
        <w:rPr>
          <w:iCs/>
          <w:i/>
        </w:rPr>
        <w:t xml:space="preserve">Calculation:</w:t>
      </w:r>
      <w:r>
        <w:br/>
      </w:r>
      <w:r>
        <w:t xml:space="preserve">Total Energy Consumption = dhvonnpuou = 8.5 kWh/unit</w:t>
      </w:r>
      <w:r>
        <w:br/>
      </w:r>
      <w:r>
        <w:t xml:space="preserve">Non-renewable Energy Usage = 8.5 kWh/unit * (1 - xudsktoiqo/100) = 8.5 kWh/unit * (1 - 0.60) = 3.4 kWh/unit</w:t>
      </w:r>
      <w:r>
        <w:br/>
      </w:r>
      <w:r>
        <w:t xml:space="preserve">Manufacturing Emissions (Scope 2) = Non-renewable Energy Usage * China Grid EF</w:t>
      </w:r>
      <w:r>
        <w:br/>
      </w:r>
      <w:r>
        <w:t xml:space="preserve">Manufacturing Emissions (Scope 2) = 3.4 kWh/unit * 0.57 kg CO2e/kWh =</w:t>
      </w:r>
      <w:r>
        <w:t xml:space="preserve"> </w:t>
      </w:r>
      <w:r>
        <w:rPr>
          <w:bCs/>
          <w:b/>
        </w:rPr>
        <w:t xml:space="preserve">1.938 kg CO2e/unit</w:t>
      </w:r>
    </w:p>
    <w:p>
      <w:pPr>
        <w:pStyle w:val="BodyText"/>
      </w:pPr>
      <w:r>
        <w:t xml:space="preserve">Upstream emissions related to fuel and energy (Scope 3, Category 3) are typically accounted for by using a \'well-to-tank\' factor embedded in the grid emission factor or through specific supplier data, which is beyond the scope of this general illustrative example but would be covered in a full detailed analysis.</w:t>
      </w:r>
    </w:p>
    <w:bookmarkEnd w:id="30"/>
    <w:bookmarkStart w:id="31" w:name="transport-emissions-scope-3-category-4"/>
    <w:p>
      <w:pPr>
        <w:pStyle w:val="Heading3"/>
      </w:pPr>
      <w:r>
        <w:t xml:space="preserve">2.3. Transport Emissions (Scope 3, Category 4)</w:t>
      </w:r>
    </w:p>
    <w:p>
      <w:pPr>
        <w:pStyle w:val="FirstParagraph"/>
      </w:pPr>
      <w:r>
        <w:t xml:space="preserve">Transport plays a significant role in the supply chain. Both upstream transport of components (Europe to China) and downstream distribution are considered.</w:t>
      </w:r>
    </w:p>
    <w:p>
      <w:pPr>
        <w:numPr>
          <w:ilvl w:val="0"/>
          <w:numId w:val="1003"/>
        </w:numPr>
        <w:pStyle w:val="Compact"/>
      </w:pPr>
      <w:r>
        <w:rPr>
          <w:bCs/>
          <w:b/>
        </w:rPr>
        <w:t xml:space="preserve">Transport Mode:</w:t>
      </w:r>
      <w:r>
        <w:t xml:space="preserve"> </w:t>
      </w:r>
      <w:r>
        <w:t xml:space="preserve">Select Mode (e.g., Road Freight, HGV)</w:t>
      </w:r>
    </w:p>
    <w:p>
      <w:pPr>
        <w:numPr>
          <w:ilvl w:val="0"/>
          <w:numId w:val="1003"/>
        </w:numPr>
        <w:pStyle w:val="Compact"/>
      </w:pPr>
      <w:r>
        <w:rPr>
          <w:bCs/>
          <w:b/>
        </w:rPr>
        <w:t xml:space="preserve">Transport Distance (Upstream/Product):</w:t>
      </w:r>
      <w:r>
        <w:t xml:space="preserve"> </w:t>
      </w:r>
      <w:r>
        <w:t xml:space="preserve">fssteyqsmt (e.g., 2500 km)</w:t>
      </w:r>
    </w:p>
    <w:p>
      <w:pPr>
        <w:numPr>
          <w:ilvl w:val="0"/>
          <w:numId w:val="1003"/>
        </w:numPr>
        <w:pStyle w:val="Compact"/>
      </w:pPr>
      <w:r>
        <w:rPr>
          <w:bCs/>
          <w:b/>
        </w:rPr>
        <w:t xml:space="preserve">Last-Mile Delivery Channel:</w:t>
      </w:r>
      <w:r>
        <w:t xml:space="preserve"> </w:t>
      </w:r>
      <w:r>
        <w:t xml:space="preserve">Delivery Type (e.g., Parcel Courier)</w:t>
      </w:r>
    </w:p>
    <w:p>
      <w:pPr>
        <w:pStyle w:val="FirstParagraph"/>
      </w:pPr>
      <w:r>
        <w:t xml:space="preserve">Assuming a representative European road freight emission factor of 0.06 kg CO2e/tkm. To calculate emissions, a product weight for</w:t>
      </w:r>
      <w:r>
        <w:t xml:space="preserve"> </w:t>
      </w:r>
      <w:r>
        <w:rPr>
          <w:bCs/>
          <w:b/>
        </w:rPr>
        <w:t xml:space="preserve">hhxufxwtdz</w:t>
      </w:r>
      <w:r>
        <w:t xml:space="preserve"> </w:t>
      </w:r>
      <w:r>
        <w:t xml:space="preserve">is estimated at 0.5 kg (0.0005 tonnes).</w:t>
      </w:r>
    </w:p>
    <w:p>
      <w:pPr>
        <w:pStyle w:val="BodyText"/>
      </w:pPr>
      <w:r>
        <w:rPr>
          <w:iCs/>
          <w:i/>
        </w:rPr>
        <w:t xml:space="preserve">Calculation:</w:t>
      </w:r>
      <w:r>
        <w:br/>
      </w:r>
      <w:r>
        <w:t xml:space="preserve">Transport Emissions (Upstream, e.g., components to factory or finished product transport) = Product Weight (tonnes) * Transport Distance (km) * Transport Mode EF (kg CO2e/tkm)</w:t>
      </w:r>
      <w:r>
        <w:br/>
      </w:r>
      <w:r>
        <w:t xml:space="preserve">Transport Emissions = 0.0005 tonnes * 2500 km * 0.06 kg CO2e/tkm =</w:t>
      </w:r>
      <w:r>
        <w:t xml:space="preserve"> </w:t>
      </w:r>
      <w:r>
        <w:rPr>
          <w:bCs/>
          <w:b/>
        </w:rPr>
        <w:t xml:space="preserve">0.075 kg CO2e/unit</w:t>
      </w:r>
    </w:p>
    <w:p>
      <w:pPr>
        <w:pStyle w:val="BodyText"/>
      </w:pPr>
      <w:r>
        <w:t xml:space="preserve">Last-mile delivery (`Delivery Type`) would add further emissions, estimated similarly based on distance, mode, and package weight. For this report, we integrate it into the overall transport calculation, noting its specific channel.</w:t>
      </w:r>
    </w:p>
    <w:bookmarkEnd w:id="31"/>
    <w:bookmarkStart w:id="32" w:name="use-phase-emissions-scope-3-category-11"/>
    <w:p>
      <w:pPr>
        <w:pStyle w:val="Heading3"/>
      </w:pPr>
      <w:r>
        <w:t xml:space="preserve">2.4. Use Phase Emissions (Scope 3, Category 11)</w:t>
      </w:r>
    </w:p>
    <w:p>
      <w:pPr>
        <w:pStyle w:val="FirstParagraph"/>
      </w:pPr>
      <w:r>
        <w:t xml:space="preserve">The energy consumption during the product\'s lifespan contributes to its overall footprint.</w:t>
      </w:r>
    </w:p>
    <w:p>
      <w:pPr>
        <w:numPr>
          <w:ilvl w:val="0"/>
          <w:numId w:val="1004"/>
        </w:numPr>
        <w:pStyle w:val="Compact"/>
      </w:pPr>
      <w:r>
        <w:rPr>
          <w:bCs/>
          <w:b/>
        </w:rPr>
        <w:t xml:space="preserve">Product Lifespan:</w:t>
      </w:r>
      <w:r>
        <w:t xml:space="preserve"> </w:t>
      </w:r>
      <w:r>
        <w:t xml:space="preserve">rizghieiml (e.g., 4 years)</w:t>
      </w:r>
    </w:p>
    <w:p>
      <w:pPr>
        <w:numPr>
          <w:ilvl w:val="0"/>
          <w:numId w:val="1004"/>
        </w:numPr>
        <w:pStyle w:val="Compact"/>
      </w:pPr>
      <w:r>
        <w:rPr>
          <w:bCs/>
          <w:b/>
        </w:rPr>
        <w:t xml:space="preserve">Energy Consumption in Use:</w:t>
      </w:r>
      <w:r>
        <w:t xml:space="preserve"> </w:t>
      </w:r>
      <w:r>
        <w:t xml:space="preserve">wnfxjgrtlm (e.g., 0.01 kWh/day)</w:t>
      </w:r>
    </w:p>
    <w:p>
      <w:pPr>
        <w:pStyle w:val="FirstParagraph"/>
      </w:pPr>
      <w:r>
        <w:t xml:space="preserve">Assuming an average European grid emission factor for the use phase of 0.25 kg CO2e/kWh.</w:t>
      </w:r>
    </w:p>
    <w:p>
      <w:pPr>
        <w:pStyle w:val="BodyText"/>
      </w:pPr>
      <w:r>
        <w:rPr>
          <w:iCs/>
          <w:i/>
        </w:rPr>
        <w:t xml:space="preserve">Calculation:</w:t>
      </w:r>
      <w:r>
        <w:br/>
      </w:r>
      <w:r>
        <w:t xml:space="preserve">Total Use Phase Energy = wnfxjgrtlm * rizghieiml * 365 days/year = 0.01 kWh/day * 4 years * 365 days/year = 14.6 kWh/unit</w:t>
      </w:r>
      <w:r>
        <w:br/>
      </w:r>
      <w:r>
        <w:t xml:space="preserve">Use Phase Emissions = Total Use Phase Energy * Use Phase Grid EF</w:t>
      </w:r>
      <w:r>
        <w:br/>
      </w:r>
      <w:r>
        <w:t xml:space="preserve">Use Phase Emissions = 14.6 kWh/unit * 0.25 kg CO2e/kWh =</w:t>
      </w:r>
      <w:r>
        <w:t xml:space="preserve"> </w:t>
      </w:r>
      <w:r>
        <w:rPr>
          <w:bCs/>
          <w:b/>
        </w:rPr>
        <w:t xml:space="preserve">3.65 kg CO2e/unit</w:t>
      </w:r>
    </w:p>
    <w:bookmarkEnd w:id="32"/>
    <w:bookmarkStart w:id="33" w:name="X2ca06fccfa99f3c618b20723539cf05bf1e6732"/>
    <w:p>
      <w:pPr>
        <w:pStyle w:val="Heading3"/>
      </w:pPr>
      <w:r>
        <w:t xml:space="preserve">2.5. End-of-Life (EoL) Emissions/Credits (Scope 3, Category 12)</w:t>
      </w:r>
    </w:p>
    <w:p>
      <w:pPr>
        <w:pStyle w:val="FirstParagraph"/>
      </w:pPr>
      <w:r>
        <w:t xml:space="preserve">End-of-Life scenarios play a crucial role in circular economy impacts.</w:t>
      </w:r>
    </w:p>
    <w:p>
      <w:pPr>
        <w:numPr>
          <w:ilvl w:val="0"/>
          <w:numId w:val="1005"/>
        </w:numPr>
        <w:pStyle w:val="Compact"/>
      </w:pPr>
      <w:r>
        <w:rPr>
          <w:bCs/>
          <w:b/>
        </w:rPr>
        <w:t xml:space="preserve">Recyclability Percentage:</w:t>
      </w:r>
      <w:r>
        <w:t xml:space="preserve"> </w:t>
      </w:r>
      <w:r>
        <w:t xml:space="preserve">sdvxndxiij (e.g., 75%)</w:t>
      </w:r>
    </w:p>
    <w:p>
      <w:pPr>
        <w:numPr>
          <w:ilvl w:val="0"/>
          <w:numId w:val="1005"/>
        </w:numPr>
        <w:pStyle w:val="Compact"/>
      </w:pPr>
      <w:r>
        <w:rPr>
          <w:bCs/>
          <w:b/>
        </w:rPr>
        <w:t xml:space="preserve">Circular/Take-back Programs:</w:t>
      </w:r>
      <w:r>
        <w:t xml:space="preserve"> </w:t>
      </w:r>
      <w:r>
        <w:t xml:space="preserve">zrqinjfiem (e.g., Yes, comprehensive take-back scheme implemented)</w:t>
      </w:r>
    </w:p>
    <w:p>
      <w:pPr>
        <w:pStyle w:val="FirstParagraph"/>
      </w:pPr>
      <w:r>
        <w:t xml:space="preserve">High recyclability can lead to avoided emissions by displacing the need for virgin materials. For illustrative purposes, assuming an average avoided emission factor for a mixed product of 1.0 kg CO2e/kg for recycled content, and a total product weight of 0.5 kg.</w:t>
      </w:r>
    </w:p>
    <w:p>
      <w:pPr>
        <w:pStyle w:val="BodyText"/>
      </w:pPr>
      <w:r>
        <w:rPr>
          <w:iCs/>
          <w:i/>
        </w:rPr>
        <w:t xml:space="preserve">Calculation:</w:t>
      </w:r>
      <w:r>
        <w:br/>
      </w:r>
      <w:r>
        <w:t xml:space="preserve">Recycled Mass = Product Weight * sdvxndxiij/100 = 0.5 kg * 0.75 = 0.375 kg</w:t>
      </w:r>
      <w:r>
        <w:br/>
      </w:r>
      <w:r>
        <w:t xml:space="preserve">Avoided Emissions from Recycling = Recycled Mass * Assumed Avoided EF = 0.375 kg * 1.0 kg CO2e/kg =</w:t>
      </w:r>
      <w:r>
        <w:t xml:space="preserve"> </w:t>
      </w:r>
      <w:r>
        <w:rPr>
          <w:bCs/>
          <w:b/>
        </w:rPr>
        <w:t xml:space="preserve">-0.375 kg CO2e/unit</w:t>
      </w:r>
      <w:r>
        <w:t xml:space="preserve"> </w:t>
      </w:r>
      <w:r>
        <w:t xml:space="preserve">(Negative value represents a credit).</w:t>
      </w:r>
    </w:p>
    <w:p>
      <w:pPr>
        <w:pStyle w:val="BodyText"/>
      </w:pPr>
      <w:r>
        <w:t xml:space="preserve">Circular/take-back programs (`zrqinjfiem`) would further enhance this by ensuring effective collection and processing, optimizing the actualization of these avoided emissions.</w:t>
      </w:r>
    </w:p>
    <w:p>
      <w:r>
        <w:pict>
          <v:rect style="width:0;height:1.5pt" o:hralign="center" o:hrstd="t" o:hr="t"/>
        </w:pict>
      </w:r>
    </w:p>
    <w:bookmarkEnd w:id="33"/>
    <w:bookmarkEnd w:id="34"/>
    <w:bookmarkStart w:id="43" w:name="X93663eaa2d6572be084be8f95c2e7dc3accc8fc"/>
    <w:p>
      <w:pPr>
        <w:pStyle w:val="Heading2"/>
      </w:pPr>
      <w:r>
        <w:t xml:space="preserve">4. Calculation of Emissions (GHG Protocol Categorization)</w:t>
      </w:r>
    </w:p>
    <w:p>
      <w:pPr>
        <w:pStyle w:val="FirstParagraph"/>
      </w:pPr>
      <w:r>
        <w:t xml:space="preserve">Emissions are categorized according to the GHG Protocol\'s scopes, with a strong emphasis on Scope 3, which typically constitutes the majority of a product\'s carbon footprint.</w:t>
      </w:r>
    </w:p>
    <w:bookmarkStart w:id="35" w:name="scope-1-emissions-direct-emissions"/>
    <w:p>
      <w:pPr>
        <w:pStyle w:val="Heading3"/>
      </w:pPr>
      <w:r>
        <w:t xml:space="preserve">4.1. Scope 1 Emissions (Direct Emissions)</w:t>
      </w:r>
    </w:p>
    <w:p>
      <w:pPr>
        <w:pStyle w:val="FirstParagraph"/>
      </w:pPr>
      <w:r>
        <w:t xml:space="preserve">For a product carbon footprint with a "factory_gate" system boundary, direct emissions from sources owned or controlled by</w:t>
      </w:r>
      <w:r>
        <w:t xml:space="preserve"> </w:t>
      </w:r>
      <w:r>
        <w:rPr>
          <w:bCs/>
          <w:b/>
        </w:rPr>
        <w:t xml:space="preserve">ikdpmdymed</w:t>
      </w:r>
      <w:r>
        <w:t xml:space="preserve"> </w:t>
      </w:r>
      <w:r>
        <w:t xml:space="preserve">(e.g., on-site fuel combustion for manufacturing</w:t>
      </w:r>
      <w:r>
        <w:t xml:space="preserve"> </w:t>
      </w:r>
      <w:r>
        <w:rPr>
          <w:bCs/>
          <w:b/>
        </w:rPr>
        <w:t xml:space="preserve">hhxufxwtdz</w:t>
      </w:r>
      <w:r>
        <w:t xml:space="preserve">) are typically captured under the company\'s operational inventory. If any specific direct process emissions for the production of</w:t>
      </w:r>
      <w:r>
        <w:t xml:space="preserve"> </w:t>
      </w:r>
      <w:r>
        <w:rPr>
          <w:bCs/>
          <w:b/>
        </w:rPr>
        <w:t xml:space="preserve">hhxufxwtdz</w:t>
      </w:r>
      <w:r>
        <w:t xml:space="preserve"> </w:t>
      </w:r>
      <w:r>
        <w:t xml:space="preserve">occur on-site and are within the boundary, they would be included here. For this product-level analysis, we assume direct process emissions for</w:t>
      </w:r>
      <w:r>
        <w:t xml:space="preserve"> </w:t>
      </w:r>
      <w:r>
        <w:rPr>
          <w:bCs/>
          <w:b/>
        </w:rPr>
        <w:t xml:space="preserve">hhxufxwtdz</w:t>
      </w:r>
      <w:r>
        <w:t xml:space="preserve"> </w:t>
      </w:r>
      <w:r>
        <w:t xml:space="preserve">are negligible or captured as part of Scope 2/3 upstream energy if derived from purchased utilities.</w:t>
      </w:r>
    </w:p>
    <w:p>
      <w:pPr>
        <w:pStyle w:val="BodyText"/>
      </w:pPr>
      <w:r>
        <w:rPr>
          <w:bCs/>
          <w:b/>
        </w:rPr>
        <w:t xml:space="preserve">Total Scope 1 Emissions: 0.00 kg CO2e/unit</w:t>
      </w:r>
      <w:r>
        <w:t xml:space="preserve"> </w:t>
      </w:r>
      <w:r>
        <w:t xml:space="preserve">(Assumed negligible for PCF at factory gate, unless specified direct process emissions occur).</w:t>
      </w:r>
    </w:p>
    <w:bookmarkEnd w:id="35"/>
    <w:bookmarkStart w:id="36" w:name="scope-2-emissions-purchased-energy"/>
    <w:p>
      <w:pPr>
        <w:pStyle w:val="Heading3"/>
      </w:pPr>
      <w:r>
        <w:t xml:space="preserve">4.2. Scope 2 Emissions (Purchased Energy)</w:t>
      </w:r>
    </w:p>
    <w:p>
      <w:pPr>
        <w:pStyle w:val="FirstParagraph"/>
      </w:pPr>
      <w:r>
        <w:t xml:space="preserve">These are indirect GHG emissions from the generation of purchased electricity consumed during the manufacturing of</w:t>
      </w:r>
      <w:r>
        <w:t xml:space="preserve"> </w:t>
      </w:r>
      <w:r>
        <w:rPr>
          <w:bCs/>
          <w:b/>
        </w:rPr>
        <w:t xml:space="preserve">hhxufxwtdz</w:t>
      </w:r>
      <w:r>
        <w:t xml:space="preserve"> </w:t>
      </w:r>
      <w:r>
        <w:t xml:space="preserve">in China.</w:t>
      </w:r>
    </w:p>
    <w:p>
      <w:pPr>
        <w:pStyle w:val="BodyText"/>
      </w:pPr>
      <w:r>
        <w:rPr>
          <w:bCs/>
          <w:b/>
        </w:rPr>
        <w:t xml:space="preserve">Total Scope 2 Emissions: 1.938 kg 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represent all other indirect emissions that occur in the value chain of</w:t>
      </w:r>
      <w:r>
        <w:t xml:space="preserve"> </w:t>
      </w:r>
      <w:r>
        <w:rPr>
          <w:bCs/>
          <w:b/>
        </w:rPr>
        <w:t xml:space="preserve">hhxufxwtdz</w:t>
      </w:r>
      <w:r>
        <w:t xml:space="preserve">, both upstream and downstream. These are broken down by relevant GHG Protocol categories. The 2026 GHG Protocol updates emphasize at least 95% coverage for Scope 3 reporting.</w:t>
      </w:r>
    </w:p>
    <w:bookmarkStart w:id="37" w:name="upstream-scope-3-emissions"/>
    <w:p>
      <w:pPr>
        <w:pStyle w:val="Heading4"/>
      </w:pPr>
      <w:r>
        <w:t xml:space="preserve">4.3.1. Upstream Scope 3 Emissions</w:t>
      </w:r>
    </w:p>
    <w:p>
      <w:pPr>
        <w:numPr>
          <w:ilvl w:val="0"/>
          <w:numId w:val="1006"/>
        </w:numPr>
        <w:pStyle w:val="Compact"/>
      </w:pPr>
      <w:r>
        <w:rPr>
          <w:bCs/>
          <w:b/>
        </w:rPr>
        <w:t xml:space="preserve">Category 1: Purchased Goods and Services (Materials)</w:t>
      </w:r>
    </w:p>
    <w:p>
      <w:pPr>
        <w:numPr>
          <w:ilvl w:val="0"/>
          <w:numId w:val="1006"/>
        </w:numPr>
        <w:pStyle w:val="Compact"/>
      </w:pPr>
      <w:r>
        <w:rPr>
          <w:bCs/>
          <w:b/>
        </w:rPr>
        <w:t xml:space="preserve">Category 4: Upstream Transportation and Distribution</w:t>
      </w:r>
    </w:p>
    <w:bookmarkEnd w:id="37"/>
    <w:bookmarkStart w:id="38" w:name="downstream-scope-3-emissions"/>
    <w:p>
      <w:pPr>
        <w:pStyle w:val="Heading4"/>
      </w:pPr>
      <w:r>
        <w:t xml:space="preserve">4.3.2. Downstream Scope 3 Emissions</w:t>
      </w:r>
    </w:p>
    <w:p>
      <w:pPr>
        <w:numPr>
          <w:ilvl w:val="0"/>
          <w:numId w:val="1007"/>
        </w:numPr>
        <w:pStyle w:val="Compact"/>
      </w:pPr>
      <w:r>
        <w:rPr>
          <w:bCs/>
          <w:b/>
        </w:rPr>
        <w:t xml:space="preserve">Category 11: Use of Sold Products</w:t>
      </w:r>
    </w:p>
    <w:p>
      <w:pPr>
        <w:numPr>
          <w:ilvl w:val="0"/>
          <w:numId w:val="1007"/>
        </w:numPr>
        <w:pStyle w:val="Compact"/>
      </w:pPr>
      <w:r>
        <w:rPr>
          <w:bCs/>
          <w:b/>
        </w:rPr>
        <w:t xml:space="preserve">Category 12: End-of-Life Treatment of Sold Products</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(Assumed negligible for PCF)</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 in China)</w:t>
            </w:r>
          </w:p>
        </w:tc>
        <w:tc>
          <w:tcPr/>
          <w:p>
            <w:pPr>
              <w:pStyle w:val="Compact"/>
              <w:jc w:val="left"/>
            </w:pPr>
            <w:r>
              <w:t xml:space="preserve">1.938</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1.375</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0.075</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3.650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-0.375</w:t>
            </w:r>
          </w:p>
        </w:tc>
      </w:tr>
      <w:tr>
        <w:tc>
          <w:tcPr>
            <w:gridSpan w:val="2"/>
          </w:tcPr>
          <w:p>
            <w:pPr>
              <w:pStyle w:val="Compact"/>
              <w:jc w:val="left"/>
            </w:pPr>
            <w:r>
              <w:rPr>
                <w:bCs/>
                <w:b/>
              </w:rPr>
              <w:t xml:space="preserve">Total Product Carbon Footprint (PCF) for hhxufxwtdz</w:t>
            </w:r>
          </w:p>
        </w:tc>
        <w:tc>
          <w:tcPr/>
          <w:p>
            <w:pPr>
              <w:pStyle w:val="Compact"/>
              <w:jc w:val="left"/>
            </w:pPr>
            <w:r>
              <w:rPr>
                <w:bCs/>
                <w:b/>
              </w:rPr>
              <w:t xml:space="preserve">6.663 kg CO2e/unit</w:t>
            </w:r>
          </w:p>
        </w:tc>
      </w:tr>
    </w:tbl>
    <w:bookmarkEnd w:id="40"/>
    <w:bookmarkStart w:id="41" w:name="X504f4a86e01fdcfa46a4589bb1b5e0cfaad8629"/>
    <w:p>
      <w:pPr>
        <w:pStyle w:val="Heading3"/>
      </w:pPr>
      <w:r>
        <w:t xml:space="preserve">4.5. 2026 Land Sector and Removals (LSR) Standard Update</w:t>
      </w:r>
    </w:p>
    <w:p>
      <w:pPr>
        <w:pStyle w:val="FirstParagraph"/>
      </w:pPr>
      <w:r>
        <w:t xml:space="preserve">The GHG Protocol\'s Land Sector and Removals (LSR) Standard, released on January 30, 2026, and effective January 1, 2027, provides crucial guidance for accounting for emissions and carbon removals from agricultural and land use activities. For</w:t>
      </w:r>
      <w:r>
        <w:t xml:space="preserve"> </w:t>
      </w:r>
      <w:r>
        <w:rPr>
          <w:bCs/>
          <w:b/>
        </w:rPr>
        <w:t xml:space="preserve">ikdpmdymed</w:t>
      </w:r>
      <w:r>
        <w:t xml:space="preserve">, this means a more robust assessment of raw materials (Scope 3, Category 1) for</w:t>
      </w:r>
      <w:r>
        <w:t xml:space="preserve"> </w:t>
      </w:r>
      <w:r>
        <w:rPr>
          <w:bCs/>
          <w:b/>
        </w:rPr>
        <w:t xml:space="preserve">hhxufxwtdz</w:t>
      </w:r>
      <w:r>
        <w:t xml:space="preserve"> </w:t>
      </w:r>
      <w:r>
        <w:t xml:space="preserve">must now explicitly consider land-use change (LUC) impacts. For instance, if any materials in the BOM are derived from agricultural or forestry products, the LSR Standard would require traceable data linked to physical flows and monitored over time for land-related emissions and sequestration. While specific data for LUC for</w:t>
      </w:r>
      <w:r>
        <w:t xml:space="preserve"> </w:t>
      </w:r>
      <w:r>
        <w:rPr>
          <w:bCs/>
          <w:b/>
        </w:rPr>
        <w:t xml:space="preserve">hhxufxwtdz</w:t>
      </w:r>
      <w:r>
        <w:t xml:space="preserve">\'s materials are not provided in this report, future iterations should integrate this standard to enhance accuracy and transparency, especially regarding biogenic carbon flows and potential carbon removal activities in the supply chain.</w:t>
      </w:r>
    </w:p>
    <w:bookmarkEnd w:id="41"/>
    <w:bookmarkStart w:id="42" w:name="X1f6b86fdd0fd2b95afaf058731206ea470bcbbf"/>
    <w:p>
      <w:pPr>
        <w:pStyle w:val="Heading3"/>
      </w:pPr>
      <w:r>
        <w:t xml:space="preserve">4.6. Scope 3 Compliance (95% Coverage for 2026 Requirements)</w:t>
      </w:r>
    </w:p>
    <w:p>
      <w:pPr>
        <w:pStyle w:val="FirstParagraph"/>
      </w:pPr>
      <w:r>
        <w:t xml:space="preserve">The upcoming 2026 GHG Protocol requirements mandate that companies account for at least 95% of their total relevant Scope 3 emissions to claim conformance, with exclusions not exceeding 5%. This significant update aims to eliminate selective disclosure and ensure a comprehensive inventory of value chain impacts. For</w:t>
      </w:r>
      <w:r>
        <w:t xml:space="preserve"> </w:t>
      </w:r>
      <w:r>
        <w:rPr>
          <w:bCs/>
          <w:b/>
        </w:rPr>
        <w:t xml:space="preserve">hhxufxwtdz</w:t>
      </w:r>
      <w:r>
        <w:t xml:space="preserve">, achieving this 95% coverage will necessitate a deeper engagement with suppliers to collect primary data for all material and transport inputs, moving beyond spend-based or average data where possible. Furthermore, the proposed new Scope 3 Category 16 for "other value chain activities" may become relevant for any business models not fully captured by existing categories.</w:t>
      </w:r>
    </w:p>
    <w:p>
      <w:r>
        <w:pict>
          <v:rect style="width:0;height:1.5pt" o:hralign="center" o:hrstd="t" o:hr="t"/>
        </w:pict>
      </w:r>
    </w:p>
    <w:bookmarkEnd w:id="42"/>
    <w:bookmarkEnd w:id="43"/>
    <w:bookmarkStart w:id="46" w:name="review-report-hotspots-and-reliability"/>
    <w:p>
      <w:pPr>
        <w:pStyle w:val="Heading2"/>
      </w:pPr>
      <w:r>
        <w:t xml:space="preserve">5. Review &amp; Report: Hotspots and Reliability</w:t>
      </w:r>
    </w:p>
    <w:bookmarkStart w:id="44" w:name="emissions-hotspots"/>
    <w:p>
      <w:pPr>
        <w:pStyle w:val="Heading3"/>
      </w:pPr>
      <w:r>
        <w:t xml:space="preserve">5.1. Emissions Hotspots</w:t>
      </w:r>
    </w:p>
    <w:p>
      <w:pPr>
        <w:pStyle w:val="FirstParagraph"/>
      </w:pPr>
      <w:r>
        <w:t xml:space="preserve">Based on the current analysis, the primary emissions hotspots for</w:t>
      </w:r>
      <w:r>
        <w:t xml:space="preserve"> </w:t>
      </w:r>
      <w:r>
        <w:rPr>
          <w:bCs/>
          <w:b/>
        </w:rPr>
        <w:t xml:space="preserve">hhxufxwtdz</w:t>
      </w:r>
      <w:r>
        <w:t xml:space="preserve"> </w:t>
      </w:r>
      <w:r>
        <w:t xml:space="preserve">are:</w:t>
      </w:r>
    </w:p>
    <w:p>
      <w:pPr>
        <w:numPr>
          <w:ilvl w:val="0"/>
          <w:numId w:val="1008"/>
        </w:numPr>
        <w:pStyle w:val="Compact"/>
      </w:pPr>
      <w:r>
        <w:rPr>
          <w:bCs/>
          <w:b/>
        </w:rPr>
        <w:t xml:space="preserve">Use Phase (3.65 kg CO2e/unit):</w:t>
      </w:r>
      <w:r>
        <w:t xml:space="preserve"> </w:t>
      </w:r>
      <w:r>
        <w:t xml:space="preserve">This constitutes the largest portion of the PCF, highlighting the importance of energy efficiency during product operation.</w:t>
      </w:r>
    </w:p>
    <w:p>
      <w:pPr>
        <w:numPr>
          <w:ilvl w:val="0"/>
          <w:numId w:val="1008"/>
        </w:numPr>
        <w:pStyle w:val="Compact"/>
      </w:pPr>
      <w:r>
        <w:rPr>
          <w:bCs/>
          <w:b/>
        </w:rPr>
        <w:t xml:space="preserve">Manufacturing (Scope 2 - 1.938 kg CO2e/unit):</w:t>
      </w:r>
      <w:r>
        <w:t xml:space="preserve"> </w:t>
      </w:r>
      <w:r>
        <w:t xml:space="preserve">Energy consumed during production in China remains a significant contributor, despite the assumed renewable energy usage. The carbon intensity of the local grid mix heavily influences this.</w:t>
      </w:r>
    </w:p>
    <w:p>
      <w:pPr>
        <w:numPr>
          <w:ilvl w:val="0"/>
          <w:numId w:val="1008"/>
        </w:numPr>
        <w:pStyle w:val="Compact"/>
      </w:pPr>
      <w:r>
        <w:rPr>
          <w:bCs/>
          <w:b/>
        </w:rPr>
        <w:t xml:space="preserve">Material Acquisition (Scope 3, Category 1 - 1.375 kg CO2e/unit):</w:t>
      </w:r>
      <w:r>
        <w:t xml:space="preserve"> </w:t>
      </w:r>
      <w:r>
        <w:t xml:space="preserve">The impact of purchased goods and services, particularly the Lithium-ion Battery and Plastic Casing, demonstrates the need for low-carbon material sourcing and design.</w:t>
      </w:r>
    </w:p>
    <w:bookmarkEnd w:id="44"/>
    <w:bookmarkStart w:id="45" w:name="data-reliability-and-recommendations"/>
    <w:p>
      <w:pPr>
        <w:pStyle w:val="Heading3"/>
      </w:pPr>
      <w:r>
        <w:t xml:space="preserve">5.2. Data Reliability and Recommendations</w:t>
      </w:r>
    </w:p>
    <w:p>
      <w:pPr>
        <w:pStyle w:val="FirstParagraph"/>
      </w:pPr>
      <w:r>
        <w:t xml:space="preserve">This report is based on a mix of provided specific parameters and illustrative dummy values for placeholders as indicated. The reliability of the PCF is directly linked to the quality and specificity of the input data.</w:t>
      </w:r>
    </w:p>
    <w:p>
      <w:pPr>
        <w:numPr>
          <w:ilvl w:val="0"/>
          <w:numId w:val="1009"/>
        </w:numPr>
        <w:pStyle w:val="Compact"/>
      </w:pPr>
      <w:r>
        <w:rPr>
          <w:bCs/>
          <w:b/>
        </w:rPr>
        <w:t xml:space="preserve">Primary Data Collection:</w:t>
      </w:r>
      <w:r>
        <w:t xml:space="preserve"> </w:t>
      </w:r>
      <w:r>
        <w:t xml:space="preserve">To enhance accuracy and comply with the 2026 Scope 3 completeness rule,</w:t>
      </w:r>
      <w:r>
        <w:t xml:space="preserve"> </w:t>
      </w:r>
      <w:r>
        <w:rPr>
          <w:bCs/>
          <w:b/>
        </w:rPr>
        <w:t xml:space="preserve">ikdpmdymed</w:t>
      </w:r>
      <w:r>
        <w:t xml:space="preserve"> </w:t>
      </w:r>
      <w:r>
        <w:t xml:space="preserve">should prioritize collecting primary data from its suppliers for all components listed in the BOM, including their specific manufacturing processes, energy mixes, and transport details.</w:t>
      </w:r>
    </w:p>
    <w:p>
      <w:pPr>
        <w:numPr>
          <w:ilvl w:val="0"/>
          <w:numId w:val="1009"/>
        </w:numPr>
        <w:pStyle w:val="Compact"/>
      </w:pPr>
      <w:r>
        <w:rPr>
          <w:bCs/>
          <w:b/>
        </w:rPr>
        <w:t xml:space="preserve">Supplier Engagement:</w:t>
      </w:r>
      <w:r>
        <w:t xml:space="preserve"> </w:t>
      </w:r>
      <w:r>
        <w:t xml:space="preserve">Engage with European and Chinese suppliers to gather more granular data on their energy consumption, renewable energy procurement, and transport logistics.</w:t>
      </w:r>
    </w:p>
    <w:p>
      <w:pPr>
        <w:numPr>
          <w:ilvl w:val="0"/>
          <w:numId w:val="1009"/>
        </w:numPr>
        <w:pStyle w:val="Compact"/>
      </w:pPr>
      <w:r>
        <w:rPr>
          <w:bCs/>
          <w:b/>
        </w:rPr>
        <w:t xml:space="preserve">Detailed Transport Data:</w:t>
      </w:r>
      <w:r>
        <w:t xml:space="preserve"> </w:t>
      </w:r>
      <w:r>
        <w:t xml:space="preserve">Obtain actual transport distances, modes, and load factors for all significant inbound (to China factory) and outbound (to market) shipments to refine Scope 3, Category 4 emissions.</w:t>
      </w:r>
    </w:p>
    <w:p>
      <w:pPr>
        <w:numPr>
          <w:ilvl w:val="0"/>
          <w:numId w:val="1009"/>
        </w:numPr>
        <w:pStyle w:val="Compact"/>
      </w:pPr>
      <w:r>
        <w:rPr>
          <w:bCs/>
          <w:b/>
        </w:rPr>
        <w:t xml:space="preserve">Product Design for Circularity:</w:t>
      </w:r>
      <w:r>
        <w:t xml:space="preserve"> </w:t>
      </w:r>
      <w:r>
        <w:t xml:space="preserve">Leverage the high recyclability percentage (`sdvxndxiij`) and existing circular programs (`zrqinjfiem`) by actively promoting and facilitating take-back and recycling to maximize avoided emissions and further reduce the net PCF.</w:t>
      </w:r>
    </w:p>
    <w:p>
      <w:pPr>
        <w:numPr>
          <w:ilvl w:val="0"/>
          <w:numId w:val="1009"/>
        </w:numPr>
        <w:pStyle w:val="Compact"/>
      </w:pPr>
      <w:r>
        <w:rPr>
          <w:bCs/>
          <w:b/>
        </w:rPr>
        <w:t xml:space="preserve">Energy Efficiency in Use:</w:t>
      </w:r>
      <w:r>
        <w:t xml:space="preserve"> </w:t>
      </w:r>
      <w:r>
        <w:t xml:space="preserve">Investigate opportunities to reduce the energy consumption of</w:t>
      </w:r>
      <w:r>
        <w:t xml:space="preserve"> </w:t>
      </w:r>
      <w:r>
        <w:rPr>
          <w:bCs/>
          <w:b/>
        </w:rPr>
        <w:t xml:space="preserve">hhxufxwtdz</w:t>
      </w:r>
      <w:r>
        <w:t xml:space="preserve"> </w:t>
      </w:r>
      <w:r>
        <w:t xml:space="preserve">during its use phase to significantly lower its largest emissions hotspot.</w:t>
      </w:r>
    </w:p>
    <w:p>
      <w:pPr>
        <w:numPr>
          <w:ilvl w:val="0"/>
          <w:numId w:val="1009"/>
        </w:numPr>
        <w:pStyle w:val="Compact"/>
      </w:pPr>
      <w:r>
        <w:rPr>
          <w:bCs/>
          <w:b/>
        </w:rPr>
        <w:t xml:space="preserve">LSR Standard Implementation:</w:t>
      </w:r>
      <w:r>
        <w:t xml:space="preserve"> </w:t>
      </w:r>
      <w:r>
        <w:t xml:space="preserve">For materials with agricultural or land-based origins, begin assessing the land-use change impacts in line with the forthcoming LSR Standard for more comprehensive reporting.</w:t>
      </w:r>
    </w:p>
    <w:p>
      <w:r>
        <w:pict>
          <v:rect style="width:0;height:1.5pt" o:hralign="center" o:hrstd="t" o:hr="t"/>
        </w:pict>
      </w:r>
    </w:p>
    <w:bookmarkEnd w:id="45"/>
    <w:bookmarkEnd w:id="46"/>
    <w:bookmarkStart w:id="48" w:name="conclusion"/>
    <w:p>
      <w:pPr>
        <w:pStyle w:val="Heading2"/>
      </w:pPr>
      <w:r>
        <w:t xml:space="preserve">Conclusion</w:t>
      </w:r>
    </w:p>
    <w:p>
      <w:pPr>
        <w:pStyle w:val="FirstParagraph"/>
      </w:pPr>
      <w:r>
        <w:t xml:space="preserve">The Product Carbon Footprint for</w:t>
      </w:r>
      <w:r>
        <w:t xml:space="preserve"> </w:t>
      </w:r>
      <w:r>
        <w:rPr>
          <w:bCs/>
          <w:b/>
        </w:rPr>
        <w:t xml:space="preserve">hhxufxwtdz</w:t>
      </w:r>
      <w:r>
        <w:t xml:space="preserve"> </w:t>
      </w:r>
      <w:r>
        <w:t xml:space="preserve">is calculated at</w:t>
      </w:r>
      <w:r>
        <w:t xml:space="preserve"> </w:t>
      </w:r>
      <w:r>
        <w:rPr>
          <w:bCs/>
          <w:b/>
        </w:rPr>
        <w:t xml:space="preserve">6.663 kg CO2e/unit</w:t>
      </w:r>
      <w:r>
        <w:t xml:space="preserve">, utilizing the GHG Protocol standard. This analysis provides valuable insights into the product\'s environmental performance, identifying the use phase, manufacturing energy, and raw materials as key areas for targeted reduction efforts. By addressing these hotspots and continuously improving data quality in alignment with the evolving 2026 GHG Protocol standards,</w:t>
      </w:r>
      <w:r>
        <w:t xml:space="preserve"> </w:t>
      </w:r>
      <w:r>
        <w:rPr>
          <w:bCs/>
          <w:b/>
        </w:rPr>
        <w:t xml:space="preserve">ikdpmdymed</w:t>
      </w:r>
      <w:r>
        <w:t xml:space="preserve"> </w:t>
      </w:r>
      <w:r>
        <w:t xml:space="preserve">can drive significant decarbonization within its product lifecycle and supply chain.</w:t>
      </w:r>
    </w:p>
    <w:p>
      <w:pPr>
        <w:pStyle w:val="BodyText"/>
      </w:pPr>
      <w:r>
        <w:t xml:space="preserve">Confidential - Internal Use Only | Page</w:t>
      </w:r>
      <w:r>
        <w:t xml:space="preserve"> </w:t>
      </w:r>
      <w:bookmarkStart w:id="47" w:name="pageNumber"/>
      <w:bookmarkEnd w:id="47"/>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hhxufxwtdz</dc:title>
  <dc:creator/>
  <dc:description>Detailed Product Carbon Footprint (PCF) analysis report for hhxufxwtdz by ikdpmdymed, specializing in GHG Protocol and 2026 updates, conducted by Senior Sustainability Consultant vehrxrfgmw.</dc:description>
  <dc:language>en</dc:language>
  <cp:keywords/>
  <dcterms:created xsi:type="dcterms:W3CDTF">2026-07-15T18:38:18Z</dcterms:created>
  <dcterms:modified xsi:type="dcterms:W3CDTF">2026-07-15T18:38:18Z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