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hguhofousl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hguhofousl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pnxhwvfwne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qrlfngktrh</w:t>
      </w:r>
    </w:p>
    <w:p>
      <w:pPr>
        <w:pStyle w:val="BodyText"/>
      </w:pPr>
      <w:r>
        <w:t xml:space="preserve">Disclaimer: This report is generated based on available data, industry standards, and specified parameters.</w:t>
      </w:r>
      <w:r>
        <w:t xml:space="preserve"> </w:t>
      </w:r>
      <w:r>
        <w:t xml:space="preserve">While every effort has been made to ensure accuracy, the actual environmental impact may vary.</w:t>
      </w:r>
      <w:r>
        <w:t xml:space="preserve"> </w:t>
      </w:r>
      <w:r>
        <w:t xml:space="preserve">Assumptions for certain data points are explicitly stated throughout the report.</w:t>
      </w:r>
    </w:p>
    <w:bookmarkEnd w:id="20"/>
    <w:bookmarkStart w:id="21" w:name="Xbbba59cd99134f2988e1a3443fa8eb1a1f09840"/>
    <w:p>
      <w:pPr>
        <w:pStyle w:val="Heading1"/>
      </w:pPr>
      <w:r>
        <w:t xml:space="preserve">Product Carbon Footprint Analysis Report: hguhofousl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27, 2026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qrlfngktrh, Senior Sustainability Consultant</w:t>
      </w:r>
    </w:p>
    <w:p>
      <w:pPr>
        <w:pStyle w:val="BodyText"/>
      </w:pPr>
      <w:r>
        <w:rPr>
          <w:bCs/>
          <w:b/>
        </w:rPr>
        <w:t xml:space="preserve">For:</w:t>
      </w:r>
      <w:r>
        <w:t xml:space="preserve"> </w:t>
      </w:r>
      <w:r>
        <w:t xml:space="preserve">pnxhwvfwne</w:t>
      </w:r>
    </w:p>
    <w:bookmarkEnd w:id="21"/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 hguhofousl,</w:t>
      </w:r>
      <w:r>
        <w:t xml:space="preserve"> </w:t>
      </w:r>
      <w:r>
        <w:t xml:space="preserve">manufactured by pnxhwvfwne. The analysis adheres strictly to the GHG Protocol,</w:t>
      </w:r>
      <w:r>
        <w:t xml:space="preserve"> </w:t>
      </w:r>
      <w:r>
        <w:t xml:space="preserve">incorporating the latest 2026 Land Sector and Removals (LSR) Standard updates and</w:t>
      </w:r>
      <w:r>
        <w:t xml:space="preserve"> </w:t>
      </w:r>
      <w:r>
        <w:t xml:space="preserve">ensuring comprehensive Scope 3 coverage. The total carbon footprint for one functional unit</w:t>
      </w:r>
      <w:r>
        <w:t xml:space="preserve"> </w:t>
      </w:r>
      <w:r>
        <w:t xml:space="preserve">of hguhofousl has been calculated to be</w:t>
      </w:r>
      <w:r>
        <w:t xml:space="preserve"> </w:t>
      </w:r>
      <w:r>
        <w:rPr>
          <w:bCs/>
          <w:b/>
        </w:rPr>
        <w:t xml:space="preserve">23.15 kg CO2e</w:t>
      </w:r>
      <w:r>
        <w:t xml:space="preserve">. The primary hotspots identified</w:t>
      </w:r>
      <w:r>
        <w:t xml:space="preserve"> </w:t>
      </w:r>
      <w:r>
        <w:t xml:space="preserve">are the upstream materials (Scope 3 - Purchased Goods and Services), particularly the Lithium-ion battery</w:t>
      </w:r>
      <w:r>
        <w:t xml:space="preserve"> </w:t>
      </w:r>
      <w:r>
        <w:t xml:space="preserve">and other electronic components, followed by the use phase electricity consumption.</w:t>
      </w:r>
      <w:r>
        <w:t xml:space="preserve"> </w:t>
      </w:r>
      <w:r>
        <w:t xml:space="preserve">Recommendations focus on optimizing material choices, enhancing renewable energy sourcing</w:t>
      </w:r>
      <w:r>
        <w:t xml:space="preserve"> </w:t>
      </w:r>
      <w:r>
        <w:t xml:space="preserve">across the value chain, and promoting circular economy initiatives.</w:t>
      </w:r>
    </w:p>
    <w:p>
      <w:r>
        <w:pict>
          <v:rect style="width:0;height:1.5pt" o:hralign="center" o:hrstd="t" o:hr="t"/>
        </w:pict>
      </w:r>
    </w:p>
    <w:bookmarkEnd w:id="22"/>
    <w:bookmarkStart w:id="28" w:name="defining-the-scope-of-the-analysis"/>
    <w:p>
      <w:pPr>
        <w:pStyle w:val="Heading2"/>
      </w:pPr>
      <w:r>
        <w:t xml:space="preserve">1. Defining the Scope of the Analysis</w:t>
      </w:r>
    </w:p>
    <w:bookmarkStart w:id="23" w:name="functional-unit"/>
    <w:p>
      <w:pPr>
        <w:pStyle w:val="Heading3"/>
      </w:pPr>
      <w:r>
        <w:t xml:space="preserve">1.1 Functional Unit</w:t>
      </w:r>
    </w:p>
    <w:p>
      <w:pPr>
        <w:pStyle w:val="FirstParagraph"/>
      </w:pPr>
      <w:r>
        <w:t xml:space="preserve">The functional unit for this Product Carbon Footprint (PCF) analysis is defined as:</w:t>
      </w:r>
      <w:r>
        <w:t xml:space="preserve"> </w:t>
      </w:r>
      <w:r>
        <w:rPr>
          <w:bCs/>
          <w:b/>
        </w:rPr>
        <w:t xml:space="preserve">1.0 unit of hguhofousl</w:t>
      </w:r>
      <w:r>
        <w:t xml:space="preserve">. This unit serves as the reference basis for all</w:t>
      </w:r>
      <w:r>
        <w:t xml:space="preserve"> </w:t>
      </w:r>
      <w:r>
        <w:t xml:space="preserve">quantified environmental impacts.</w:t>
      </w:r>
    </w:p>
    <w:bookmarkEnd w:id="23"/>
    <w:bookmarkStart w:id="24" w:name="system-boundary"/>
    <w:p>
      <w:pPr>
        <w:pStyle w:val="Heading3"/>
      </w:pPr>
      <w:r>
        <w:t xml:space="preserve">1.2 System Boundary</w:t>
      </w:r>
    </w:p>
    <w:p>
      <w:pPr>
        <w:pStyle w:val="FirstParagraph"/>
      </w:pPr>
      <w:r>
        <w:t xml:space="preserve">This PCF analysis employs a</w:t>
      </w:r>
      <w:r>
        <w:t xml:space="preserve"> </w:t>
      </w:r>
      <w:r>
        <w:rPr>
          <w:bCs/>
          <w:b/>
        </w:rPr>
        <w:t xml:space="preserve">cradle-to-grave</w:t>
      </w:r>
      <w:r>
        <w:t xml:space="preserve"> </w:t>
      </w:r>
      <w:r>
        <w:t xml:space="preserve">system boundary. While the primary</w:t>
      </w:r>
      <w:r>
        <w:t xml:space="preserve"> </w:t>
      </w:r>
      <w:r>
        <w:t xml:space="preserve">production focus is factory_gate, the analysis extends to cover the entire product lifecycle</w:t>
      </w:r>
      <w:r>
        <w:t xml:space="preserve"> </w:t>
      </w:r>
      <w:r>
        <w:t xml:space="preserve">including raw material extraction, manufacturing, transportation (upstream and downstream),</w:t>
      </w:r>
      <w:r>
        <w:t xml:space="preserve"> </w:t>
      </w:r>
      <w:r>
        <w:t xml:space="preserve">the product\'s use phase, and its end-of-life treatment. This comprehensive approach</w:t>
      </w:r>
      <w:r>
        <w:t xml:space="preserve"> </w:t>
      </w:r>
      <w:r>
        <w:t xml:space="preserve">aligns with the principles of the GHG Protocol Product Standard to capture all significant</w:t>
      </w:r>
      <w:r>
        <w:t xml:space="preserve"> </w:t>
      </w:r>
      <w:r>
        <w:t xml:space="preserve">Greenhouse Gas (GHG) emissions associated with the product.</w:t>
      </w:r>
    </w:p>
    <w:bookmarkEnd w:id="24"/>
    <w:bookmarkStart w:id="25" w:name="geographic-scope"/>
    <w:p>
      <w:pPr>
        <w:pStyle w:val="Heading3"/>
      </w:pPr>
      <w:r>
        <w:t xml:space="preserve">1.3 Geographic Scope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Final Production Country is China</w:t>
      </w:r>
      <w:r>
        <w:t xml:space="preserve">, which dictates the electricity grid mix</w:t>
      </w:r>
      <w:r>
        <w:t xml:space="preserve"> </w:t>
      </w:r>
      <w:r>
        <w:t xml:space="preserve">used for direct manufacturing emissions. The</w:t>
      </w:r>
      <w:r>
        <w:t xml:space="preserve"> </w:t>
      </w:r>
      <w:r>
        <w:rPr>
          <w:bCs/>
          <w:b/>
        </w:rPr>
        <w:t xml:space="preserve">Supply Chain Focus is Europe Focused</w:t>
      </w:r>
      <w:r>
        <w:t xml:space="preserve">,</w:t>
      </w:r>
      <w:r>
        <w:t xml:space="preserve"> </w:t>
      </w:r>
      <w:r>
        <w:t xml:space="preserve">meaning upstream material and transport emissions consider European supply chain contexts</w:t>
      </w:r>
      <w:r>
        <w:t xml:space="preserve"> </w:t>
      </w:r>
      <w:r>
        <w:t xml:space="preserve">or global averages where specific European data is not available. The use phase emissions</w:t>
      </w:r>
      <w:r>
        <w:t xml:space="preserve"> </w:t>
      </w:r>
      <w:r>
        <w:t xml:space="preserve">are also considered with an average European electricity grid mix for the end-user.</w:t>
      </w:r>
    </w:p>
    <w:bookmarkEnd w:id="25"/>
    <w:bookmarkStart w:id="26" w:name="accounting-standard"/>
    <w:p>
      <w:pPr>
        <w:pStyle w:val="Heading3"/>
      </w:pPr>
      <w:r>
        <w:t xml:space="preserve">1.4 Accounting Standard</w:t>
      </w:r>
    </w:p>
    <w:p>
      <w:pPr>
        <w:pStyle w:val="FirstParagraph"/>
      </w:pPr>
      <w:r>
        <w:t xml:space="preserve">This analysis is performed in strict accordance with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,</w:t>
      </w:r>
      <w:r>
        <w:t xml:space="preserve"> </w:t>
      </w:r>
      <w:r>
        <w:t xml:space="preserve">specifically the Product Life Cycle Accounting and Reporting Standard. Emissions are</w:t>
      </w:r>
      <w:r>
        <w:t xml:space="preserve"> </w:t>
      </w:r>
      <w:r>
        <w:t xml:space="preserve">categorized into Scope 1 (Direct Emissions), Scope 2 (Energy Indirect Emissions), and</w:t>
      </w:r>
      <w:r>
        <w:t xml:space="preserve"> </w:t>
      </w:r>
      <w:r>
        <w:t xml:space="preserve">Scope 3 (Other Indirect Emissions from the Value Chain). The latest 2026 Land Sector</w:t>
      </w:r>
      <w:r>
        <w:t xml:space="preserve"> </w:t>
      </w:r>
      <w:r>
        <w:t xml:space="preserve">and Removals (LSR) Standard principles are considered, and the report aims for at least</w:t>
      </w:r>
      <w:r>
        <w:t xml:space="preserve"> </w:t>
      </w:r>
      <w:r>
        <w:t xml:space="preserve">95% coverage for Scope 3 reporting as per 2026 requirements.</w:t>
      </w:r>
    </w:p>
    <w:bookmarkEnd w:id="26"/>
    <w:bookmarkStart w:id="27" w:name="allocation"/>
    <w:p>
      <w:pPr>
        <w:pStyle w:val="Heading3"/>
      </w:pPr>
      <w:r>
        <w:t xml:space="preserve">1.5 Allocation</w:t>
      </w:r>
    </w:p>
    <w:p>
      <w:pPr>
        <w:pStyle w:val="FirstParagraph"/>
      </w:pPr>
      <w:r>
        <w:t xml:space="preserve">Where shared processes occur (e.g., in manufacturing facilities producing multiple products),</w:t>
      </w:r>
      <w:r>
        <w:t xml:space="preserve"> </w:t>
      </w:r>
      <w:r>
        <w:t xml:space="preserve">emissions are allocated to the functional unit (1.0 unit of hguhofousl) based on mass.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4" w:name="X5ac1016326291da627a3e234e03e6379762787b"/>
    <w:p>
      <w:pPr>
        <w:pStyle w:val="Heading2"/>
      </w:pPr>
      <w:r>
        <w:t xml:space="preserve">2. &amp; 3. Mapping the Lifecycle and Data Collection</w:t>
      </w:r>
    </w:p>
    <w:p>
      <w:pPr>
        <w:pStyle w:val="FirstParagraph"/>
      </w:pPr>
      <w:r>
        <w:t xml:space="preserve">The lifecycle of hguhofousl encompasses several stages, from raw material sourcing to</w:t>
      </w:r>
      <w:r>
        <w:t xml:space="preserve"> </w:t>
      </w:r>
      <w:r>
        <w:t xml:space="preserve">end-of-life. Data has been collected from primary sources (provided parameters) and</w:t>
      </w:r>
      <w:r>
        <w:t xml:space="preserve"> </w:t>
      </w:r>
      <w:r>
        <w:t xml:space="preserve">secondary sources (industry-standard emission factors).</w:t>
      </w:r>
    </w:p>
    <w:bookmarkStart w:id="29" w:name="X0411cf4e1d7e5c7be733a0b22adf8a3df77fd96"/>
    <w:p>
      <w:pPr>
        <w:pStyle w:val="Heading3"/>
      </w:pPr>
      <w:r>
        <w:t xml:space="preserve">2.1 Detailed Bill of Materials (BOM) &amp; Material Impact (Scope 3, Category 1)</w:t>
      </w:r>
    </w:p>
    <w:p>
      <w:pPr>
        <w:pStyle w:val="FirstParagraph"/>
      </w:pPr>
      <w:r>
        <w:t xml:space="preserve">The Bill of Materials (BOM) for hguhofousl (placeholder kzfwnjnh) has been utilized for</w:t>
      </w:r>
      <w:r>
        <w:t xml:space="preserve"> </w:t>
      </w:r>
      <w:r>
        <w:t xml:space="preserve">high-accuracy material impact calculation. Each material\'s carbon footprint is derived</w:t>
      </w:r>
      <w:r>
        <w:t xml:space="preserve"> </w:t>
      </w:r>
      <w:r>
        <w:t xml:space="preserve">from its quantity and an associated emission factor.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3.10</w:t>
            </w: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29.39</w:t>
            </w: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 (0.05 kWh)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 Storage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175.00</w:t>
            </w:r>
            <w:r>
              <w:br/>
            </w:r>
            <w:r>
              <w:t xml:space="preserve">(derived from 175 kgCO2e/kWh * 0.05 kWh)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 &amp; Connectors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4.10</w:t>
            </w: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Components (Misc.)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29.39</w:t>
            </w: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Cardboard 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0.50</w:t>
            </w: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</w:tr>
      <w:tr>
        <w:tc>
          <w:tcPr>
            <w:gridSpan w:val="6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Weight of Product (approximate)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0.50 kg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7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Upstream Material Emissions (Scope 3, Category 1)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13.32 kgCO2e</w:t>
            </w:r>
          </w:p>
        </w:tc>
      </w:tr>
    </w:tbl>
    <w:bookmarkEnd w:id="29"/>
    <w:bookmarkStart w:id="30" w:name="production-energy-input-scope-2"/>
    <w:p>
      <w:pPr>
        <w:pStyle w:val="Heading3"/>
      </w:pPr>
      <w:r>
        <w:t xml:space="preserve">2.2 Production Energy Input (Scope 2)</w:t>
      </w:r>
    </w:p>
    <w:p>
      <w:pPr>
        <w:pStyle w:val="FirstParagraph"/>
      </w:pPr>
      <w:r>
        <w:t xml:space="preserve">The production phase of hguhofousl occurs in China. The energy intensity and renewable</w:t>
      </w:r>
      <w:r>
        <w:t xml:space="preserve"> </w:t>
      </w:r>
      <w:r>
        <w:t xml:space="preserve">energy usage are critical factors in determining its carbon footprint.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5 kWh/unit [dzpxgronpq]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50% [jrhmeqqumy]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Grid Electricity Usage:</w:t>
      </w:r>
      <w:r>
        <w:t xml:space="preserve"> </w:t>
      </w:r>
      <w:r>
        <w:t xml:space="preserve">50% (2.5 kWh/unit)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Assumed China Grid Emission Factor:</w:t>
      </w:r>
      <w:r>
        <w:t xml:space="preserve"> </w:t>
      </w:r>
      <w:r>
        <w:t xml:space="preserve">0.7 kg CO2e/kWh (estimated average)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Emission Factor:</w:t>
      </w:r>
      <w:r>
        <w:t xml:space="preserve"> </w:t>
      </w:r>
      <w:r>
        <w:t xml:space="preserve">0 kg CO2e/kWh</w:t>
      </w:r>
    </w:p>
    <w:p>
      <w:pPr>
        <w:pStyle w:val="FirstParagraph"/>
      </w:pPr>
      <w:r>
        <w:rPr>
          <w:bCs/>
          <w:b/>
        </w:rPr>
        <w:t xml:space="preserve">Calculated Production Energy Emissions (Scope 2):</w:t>
      </w:r>
      <w:r>
        <w:t xml:space="preserve"> </w:t>
      </w:r>
      <w:r>
        <w:t xml:space="preserve">2.5 kWh/unit * 0.7 kg CO2e/kWh =</w:t>
      </w:r>
      <w:r>
        <w:t xml:space="preserve"> </w:t>
      </w:r>
      <w:r>
        <w:rPr>
          <w:bCs/>
          <w:b/>
        </w:rPr>
        <w:t xml:space="preserve">1.75 kg CO2e</w:t>
      </w:r>
    </w:p>
    <w:bookmarkEnd w:id="30"/>
    <w:bookmarkStart w:id="31" w:name="Xa2d07311545dc8d21457c1ab7991cd45804833f"/>
    <w:p>
      <w:pPr>
        <w:pStyle w:val="Heading3"/>
      </w:pPr>
      <w:r>
        <w:t xml:space="preserve">2.3 Transportation &amp; Logistics (Scope 3, Category 4)</w:t>
      </w:r>
    </w:p>
    <w:p>
      <w:pPr>
        <w:pStyle w:val="FirstParagraph"/>
      </w:pPr>
      <w:r>
        <w:t xml:space="preserve">Logistics data, including transport mode, distance, and last-mile delivery, has been</w:t>
      </w:r>
      <w:r>
        <w:t xml:space="preserve"> </w:t>
      </w:r>
      <w:r>
        <w:t xml:space="preserve">incorporated into the supply chain analysis. The total product weight used for transport</w:t>
      </w:r>
      <w:r>
        <w:t xml:space="preserve"> </w:t>
      </w:r>
      <w:r>
        <w:t xml:space="preserve">calculations is 0.5 kg.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Main Transport Mode:</w:t>
      </w:r>
      <w:r>
        <w:t xml:space="preserve"> </w:t>
      </w:r>
      <w:r>
        <w:t xml:space="preserve">Road Freight (HGV &gt;20t) [Select Mode]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1000 km [hlivzwwihd] (assumed for main supply chain leg to final production/distribution)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Road Freight Emission Factor:</w:t>
      </w:r>
      <w:r>
        <w:t xml:space="preserve"> </w:t>
      </w:r>
      <w:r>
        <w:t xml:space="preserve">0.092 kgCO2e/tonne-km (Well-to-Wheel, Europe)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Calculated Main Transport Emissions:</w:t>
      </w:r>
      <w:r>
        <w:t xml:space="preserve"> </w:t>
      </w:r>
      <w:r>
        <w:t xml:space="preserve">0.0005 tonnes * 1000 km * 0.092 kgCO2e/tonne-km =</w:t>
      </w:r>
      <w:r>
        <w:t xml:space="preserve"> </w:t>
      </w:r>
      <w:r>
        <w:rPr>
          <w:bCs/>
          <w:b/>
        </w:rPr>
        <w:t xml:space="preserve">0.046 kg CO2e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Parcel Service [Delivery Type]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Assumed Last-Mile Delivery Emissions:</w:t>
      </w:r>
      <w:r>
        <w:t xml:space="preserve"> </w:t>
      </w:r>
      <w:r>
        <w:t xml:space="preserve">0.5 kg CO2e/parcel (estimated for small parcel delivery)</w:t>
      </w:r>
    </w:p>
    <w:p>
      <w:pPr>
        <w:pStyle w:val="FirstParagraph"/>
      </w:pPr>
      <w:r>
        <w:rPr>
          <w:bCs/>
          <w:b/>
        </w:rPr>
        <w:t xml:space="preserve">Total Transportation Emissions (Scope 3, Category 4):</w:t>
      </w:r>
      <w:r>
        <w:t xml:space="preserve"> </w:t>
      </w:r>
      <w:r>
        <w:t xml:space="preserve">0.046 kg CO2e + 0.5 kg CO2e =</w:t>
      </w:r>
      <w:r>
        <w:t xml:space="preserve"> </w:t>
      </w:r>
      <w:r>
        <w:rPr>
          <w:bCs/>
          <w:b/>
        </w:rPr>
        <w:t xml:space="preserve">0.55 kg CO2e</w:t>
      </w:r>
    </w:p>
    <w:bookmarkEnd w:id="31"/>
    <w:bookmarkStart w:id="32" w:name="X6b0964d1772fe9d91bf7b3a530b1aaf3ca9029b"/>
    <w:p>
      <w:pPr>
        <w:pStyle w:val="Heading3"/>
      </w:pPr>
      <w:r>
        <w:t xml:space="preserve">2.4 Use Phase Consumption (Scope 3, Category 11)</w:t>
      </w:r>
    </w:p>
    <w:p>
      <w:pPr>
        <w:pStyle w:val="FirstParagraph"/>
      </w:pPr>
      <w:r>
        <w:t xml:space="preserve">The use phase calculation incorporates specific durability and consumption data.</w:t>
      </w:r>
      <w:r>
        <w:t xml:space="preserve"> </w:t>
      </w:r>
      <w:r>
        <w:t xml:space="preserve">Emissions from this stage are indirect, resulting from the end-user\'s electricity consumption.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3 years [vjzmszxfet]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10 kWh/year [sswfotoknv]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Assumed Consumer Electricity Emission Factor (Europe average):</w:t>
      </w:r>
      <w:r>
        <w:t xml:space="preserve"> </w:t>
      </w:r>
      <w:r>
        <w:t xml:space="preserve">0.25 kg CO2e/kWh (estimated)</w:t>
      </w:r>
    </w:p>
    <w:p>
      <w:pPr>
        <w:pStyle w:val="FirstParagraph"/>
      </w:pPr>
      <w:r>
        <w:rPr>
          <w:bCs/>
          <w:b/>
        </w:rPr>
        <w:t xml:space="preserve">Calculated Use Phase Emissions (Scope 3, Category 11):</w:t>
      </w:r>
      <w:r>
        <w:t xml:space="preserve"> </w:t>
      </w:r>
      <w:r>
        <w:t xml:space="preserve">10 kWh/year * 3 years * 0.25 kg CO2e/kWh =</w:t>
      </w:r>
      <w:r>
        <w:t xml:space="preserve"> </w:t>
      </w:r>
      <w:r>
        <w:rPr>
          <w:bCs/>
          <w:b/>
        </w:rPr>
        <w:t xml:space="preserve">7.50 kg CO2e</w:t>
      </w:r>
    </w:p>
    <w:bookmarkEnd w:id="32"/>
    <w:bookmarkStart w:id="33" w:name="X3261202975bfccb1283f2bd5fabef2dfdbe9c90"/>
    <w:p>
      <w:pPr>
        <w:pStyle w:val="Heading3"/>
      </w:pPr>
      <w:r>
        <w:t xml:space="preserve">2.5 End-of-Life (EoL) Scenarios (Scope 3, Category 12)</w:t>
      </w:r>
    </w:p>
    <w:p>
      <w:pPr>
        <w:pStyle w:val="FirstParagraph"/>
      </w:pPr>
      <w:r>
        <w:t xml:space="preserve">End-of-Life scenarios reflect circular economy impacts based on recyclability and take-back programs.</w:t>
      </w:r>
      <w:r>
        <w:t xml:space="preserve"> </w:t>
      </w:r>
      <w:r>
        <w:t xml:space="preserve">The weight considered for EoL (excluding packaging, which is assumed to be disposed of separately) is 0.4 kg.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70% [rzduhzikhz]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Yes, regional program [eziqwowsxy]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Non-Recycled Portion:</w:t>
      </w:r>
      <w:r>
        <w:t xml:space="preserve"> </w:t>
      </w:r>
      <w:r>
        <w:t xml:space="preserve">30% of product weight = 0.12 kg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Assumed Disposal Emission Factor (for non-recycled electronics):</w:t>
      </w:r>
      <w:r>
        <w:t xml:space="preserve"> </w:t>
      </w:r>
      <w:r>
        <w:t xml:space="preserve">0.3 kg CO2e/kg (estimated average)</w:t>
      </w:r>
    </w:p>
    <w:p>
      <w:pPr>
        <w:pStyle w:val="FirstParagraph"/>
      </w:pPr>
      <w:r>
        <w:rPr>
          <w:bCs/>
          <w:b/>
        </w:rPr>
        <w:t xml:space="preserve">Calculated End-of-Life Emissions (Scope 3, Category 12):</w:t>
      </w:r>
      <w:r>
        <w:t xml:space="preserve"> </w:t>
      </w:r>
      <w:r>
        <w:t xml:space="preserve">0.12 kg * 0.3 kg CO2e/kg =</w:t>
      </w:r>
      <w:r>
        <w:t xml:space="preserve"> </w:t>
      </w:r>
      <w:r>
        <w:rPr>
          <w:bCs/>
          <w:b/>
        </w:rPr>
        <w:t xml:space="preserve">0.04 kg CO2e</w:t>
      </w:r>
    </w:p>
    <w:p>
      <w:pPr>
        <w:pStyle w:val="BodyText"/>
      </w:pPr>
      <w:r>
        <w:rPr>
          <w:iCs/>
          <w:i/>
        </w:rPr>
        <w:t xml:space="preserve">Note on recycling:</w:t>
      </w:r>
      <w:r>
        <w:t xml:space="preserve"> </w:t>
      </w:r>
      <w:r>
        <w:t xml:space="preserve">The 70% recyclability, supported by circular programs, suggests</w:t>
      </w:r>
      <w:r>
        <w:t xml:space="preserve"> </w:t>
      </w:r>
      <w:r>
        <w:t xml:space="preserve">a significant reduction in the need for virgin materials. In this calculation, we account</w:t>
      </w:r>
      <w:r>
        <w:t xml:space="preserve"> </w:t>
      </w:r>
      <w:r>
        <w:t xml:space="preserve">for the emissions from the disposal of the non-recycled portion. Avoided emissions from</w:t>
      </w:r>
      <w:r>
        <w:t xml:space="preserve"> </w:t>
      </w:r>
      <w:r>
        <w:t xml:space="preserve">recycling (e.g., against virgin production) are acknowledged as a benefit but are not</w:t>
      </w:r>
      <w:r>
        <w:t xml:space="preserve"> </w:t>
      </w:r>
      <w:r>
        <w:t xml:space="preserve">subtracted from the total PCF in line with standard GHG Protocol reporting for disposal</w:t>
      </w:r>
      <w:r>
        <w:t xml:space="preserve"> </w:t>
      </w:r>
      <w:r>
        <w:t xml:space="preserve">emissions, which primarily covers waste treatment.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41" w:name="emission-calculation-and-categorization"/>
    <w:p>
      <w:pPr>
        <w:pStyle w:val="Heading2"/>
      </w:pPr>
      <w:r>
        <w:t xml:space="preserve">4. Emission Calculation and Categorization</w:t>
      </w:r>
    </w:p>
    <w:p>
      <w:pPr>
        <w:pStyle w:val="FirstParagraph"/>
      </w:pPr>
      <w:r>
        <w:t xml:space="preserve">The collected data has been used to calculate emissions across the product\'s lifecycle,</w:t>
      </w:r>
      <w:r>
        <w:t xml:space="preserve"> </w:t>
      </w:r>
      <w:r>
        <w:t xml:space="preserve">categorized according to the GHG Protocol.</w:t>
      </w:r>
    </w:p>
    <w:bookmarkStart w:id="35" w:name="scope-1-direct-emissions"/>
    <w:p>
      <w:pPr>
        <w:pStyle w:val="Heading3"/>
      </w:pPr>
      <w:r>
        <w:t xml:space="preserve">4.1 Scope 1: Direct Emissions</w:t>
      </w:r>
    </w:p>
    <w:p>
      <w:pPr>
        <w:pStyle w:val="FirstParagraph"/>
      </w:pPr>
      <w:r>
        <w:t xml:space="preserve">For a Product Carbon Footprint (PCF), Scope 1 emissions are direct greenhouse gas emissions</w:t>
      </w:r>
      <w:r>
        <w:t xml:space="preserve"> </w:t>
      </w:r>
      <w:r>
        <w:t xml:space="preserve">from sources owned or controlled by the reporting company (pnxhwvfwne) related to the</w:t>
      </w:r>
      <w:r>
        <w:t xml:space="preserve"> </w:t>
      </w:r>
      <w:r>
        <w:t xml:space="preserve">manufacturing processes of hguhofousl. In this analysis, it is assumed that direct</w:t>
      </w:r>
      <w:r>
        <w:t xml:space="preserve"> </w:t>
      </w:r>
      <w:r>
        <w:t xml:space="preserve">process emissions (e.g., from on-site fuel combustion not tied to electricity generation)</w:t>
      </w:r>
      <w:r>
        <w:t xml:space="preserve"> </w:t>
      </w:r>
      <w:r>
        <w:t xml:space="preserve">are negligible or implicitly covered by aggregated energy consumption data for the specific</w:t>
      </w:r>
      <w:r>
        <w:t xml:space="preserve"> </w:t>
      </w:r>
      <w:r>
        <w:t xml:space="preserve">product.</w:t>
      </w:r>
    </w:p>
    <w:p>
      <w:pPr>
        <w:pStyle w:val="BodyText"/>
      </w:pPr>
      <w:r>
        <w:rPr>
          <w:bCs/>
          <w:b/>
        </w:rPr>
        <w:t xml:space="preserve">Total Scope 1 Emissions: 0.00 kg CO2e</w:t>
      </w:r>
    </w:p>
    <w:bookmarkEnd w:id="35"/>
    <w:bookmarkStart w:id="36" w:name="scope-2-energy-indirect-emissions"/>
    <w:p>
      <w:pPr>
        <w:pStyle w:val="Heading3"/>
      </w:pPr>
      <w:r>
        <w:t xml:space="preserve">4.2 Scope 2: Energy Indirect Emissions</w:t>
      </w:r>
    </w:p>
    <w:p>
      <w:pPr>
        <w:pStyle w:val="FirstParagraph"/>
      </w:pPr>
      <w:r>
        <w:t xml:space="preserve">Scope 2 emissions account for GHG emissions from the generation of purchased electricity</w:t>
      </w:r>
      <w:r>
        <w:t xml:space="preserve"> </w:t>
      </w:r>
      <w:r>
        <w:t xml:space="preserve">consumed by pnxhwvfwne\'s facilities during the production of hguhofousl.</w:t>
      </w:r>
    </w:p>
    <w:p>
      <w:pPr>
        <w:pStyle w:val="BodyText"/>
      </w:pPr>
      <w:r>
        <w:rPr>
          <w:bCs/>
          <w:b/>
        </w:rPr>
        <w:t xml:space="preserve">Calculated Scope 2 Emissions: 1.75 kg CO2e</w:t>
      </w:r>
    </w:p>
    <w:bookmarkEnd w:id="36"/>
    <w:bookmarkStart w:id="37" w:name="Xd1c2b652bc5876514f180a21f002993b8de8e83"/>
    <w:p>
      <w:pPr>
        <w:pStyle w:val="Heading3"/>
      </w:pPr>
      <w:r>
        <w:t xml:space="preserve">4.3 Scope 3: Other Indirect Emissions (Value Chain)</w:t>
      </w:r>
    </w:p>
    <w:p>
      <w:pPr>
        <w:pStyle w:val="FirstParagraph"/>
      </w:pPr>
      <w:r>
        <w:t xml:space="preserve">Scope 3 emissions cover all other indirect emissions that occur in the value chain of</w:t>
      </w:r>
      <w:r>
        <w:t xml:space="preserve"> </w:t>
      </w:r>
      <w:r>
        <w:t xml:space="preserve">pnxhwvfwne, both upstream and downstream. This category represents the largest portion</w:t>
      </w:r>
      <w:r>
        <w:t xml:space="preserve"> </w:t>
      </w:r>
      <w:r>
        <w:t xml:space="preserve">of hguhofousl\'s total carbon footprint.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Category 1: Purchased Goods and Services (Materials):</w:t>
      </w:r>
      <w:r>
        <w:t xml:space="preserve"> </w:t>
      </w:r>
      <w:r>
        <w:t xml:space="preserve">Emissions associated with the production of raw materials and packaging.</w:t>
      </w:r>
      <w:r>
        <w:t xml:space="preserve"> </w:t>
      </w:r>
      <w:r>
        <w:rPr>
          <w:bCs/>
          <w:b/>
        </w:rPr>
        <w:t xml:space="preserve">13.32 kg CO2e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Category 4: Upstream Transportation and Distribution:</w:t>
      </w:r>
      <w:r>
        <w:t xml:space="preserve"> </w:t>
      </w:r>
      <w:r>
        <w:t xml:space="preserve">Emissions from the transportation of raw materials to the manufacturing facility</w:t>
      </w:r>
      <w:r>
        <w:t xml:space="preserve"> </w:t>
      </w:r>
      <w:r>
        <w:t xml:space="preserve">and finished goods to distribution centers.</w:t>
      </w:r>
      <w:r>
        <w:t xml:space="preserve"> </w:t>
      </w:r>
      <w:r>
        <w:rPr>
          <w:bCs/>
          <w:b/>
        </w:rPr>
        <w:t xml:space="preserve">0.55 kg CO2e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Category 11: Use of Sold Products:</w:t>
      </w:r>
      <w:r>
        <w:t xml:space="preserve"> </w:t>
      </w:r>
      <w:r>
        <w:t xml:space="preserve">Emissions from the energy consumed by the product during its lifespan.</w:t>
      </w:r>
      <w:r>
        <w:t xml:space="preserve"> </w:t>
      </w:r>
      <w:r>
        <w:rPr>
          <w:bCs/>
          <w:b/>
        </w:rPr>
        <w:t xml:space="preserve">7.50 kg CO2e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Category 12: End-of-Life Treatment of Sold Products:</w:t>
      </w:r>
      <w:r>
        <w:t xml:space="preserve"> </w:t>
      </w:r>
      <w:r>
        <w:t xml:space="preserve">Emissions from the disposal and treatment of the product at the end of its useful life.</w:t>
      </w:r>
      <w:r>
        <w:t xml:space="preserve"> </w:t>
      </w:r>
      <w:r>
        <w:rPr>
          <w:bCs/>
          <w:b/>
        </w:rPr>
        <w:t xml:space="preserve">0.04 kg CO2e</w:t>
      </w:r>
    </w:p>
    <w:p>
      <w:pPr>
        <w:pStyle w:val="FirstParagraph"/>
      </w:pPr>
      <w:r>
        <w:rPr>
          <w:bCs/>
          <w:b/>
        </w:rPr>
        <w:t xml:space="preserve">Total Scope 3 Emissions: 21.41 kg CO2e</w:t>
      </w:r>
    </w:p>
    <w:bookmarkEnd w:id="37"/>
    <w:bookmarkStart w:id="38" w:name="total-product-carbon-footprint-pcf"/>
    <w:p>
      <w:pPr>
        <w:pStyle w:val="Heading3"/>
      </w:pPr>
      <w:r>
        <w:t xml:space="preserve">4.4 Total Product Carbon Footprint (PCF)</w:t>
      </w:r>
    </w:p>
    <w:p>
      <w:pPr>
        <w:pStyle w:val="FirstParagraph"/>
      </w:pPr>
      <w:r>
        <w:t xml:space="preserve">The sum of Scope 1, Scope 2, and Scope 3 emissions provides the total cradle-to-grave</w:t>
      </w:r>
      <w:r>
        <w:t xml:space="preserve"> </w:t>
      </w:r>
      <w:r>
        <w:t xml:space="preserve">Product Carbon Footprint for one unit of hguhofousl.</w:t>
      </w:r>
    </w:p>
    <w:p>
      <w:pPr>
        <w:pStyle w:val="BodyText"/>
      </w:pPr>
      <w:r>
        <w:rPr>
          <w:bCs/>
          <w:b/>
        </w:rPr>
        <w:t xml:space="preserve">Total PCF for hguhofousl: 23.15 kg CO2e per unit</w:t>
      </w:r>
    </w:p>
    <w:bookmarkEnd w:id="38"/>
    <w:bookmarkStart w:id="39" w:name="X504f4a86e01fdcfa46a4589bb1b5e0cfaad8629"/>
    <w:p>
      <w:pPr>
        <w:pStyle w:val="Heading3"/>
      </w:pPr>
      <w:r>
        <w:t xml:space="preserve">4.5 2026 Land Sector and Removals (LSR) Standard Update</w:t>
      </w:r>
    </w:p>
    <w:p>
      <w:pPr>
        <w:pStyle w:val="FirstParagraph"/>
      </w:pPr>
      <w:r>
        <w:t xml:space="preserve">The GHG Protocol\'s Land Sector and Removals (LSR) Standard, effective January 1, 2027,</w:t>
      </w:r>
      <w:r>
        <w:t xml:space="preserve"> </w:t>
      </w:r>
      <w:r>
        <w:t xml:space="preserve">provides enhanced guidance for accounting and reporting land-related emissions and</w:t>
      </w:r>
      <w:r>
        <w:t xml:space="preserve"> </w:t>
      </w:r>
      <w:r>
        <w:t xml:space="preserve">carbon removals. For a manufactured product like hguhofousl</w:t>
      </w:r>
      <w:r>
        <w:t xml:space="preserve"> </w:t>
      </w:r>
      <w:r>
        <w:t xml:space="preserve">(a smart sensor), direct land use change emissions and removals are not typically</w:t>
      </w:r>
      <w:r>
        <w:t xml:space="preserve"> </w:t>
      </w:r>
      <w:r>
        <w:t xml:space="preserve">the dominant factors. However, the principles of the LSR Standard are relevant indirectly</w:t>
      </w:r>
      <w:r>
        <w:t xml:space="preserve"> </w:t>
      </w:r>
      <w:r>
        <w:t xml:space="preserve">through the upstream supply chain of raw materials (e.g., metals, plastics, packaging,</w:t>
      </w:r>
      <w:r>
        <w:t xml:space="preserve"> </w:t>
      </w:r>
      <w:r>
        <w:t xml:space="preserve">some of which may originate from land-intensive processes). While specific land-use data</w:t>
      </w:r>
      <w:r>
        <w:t xml:space="preserve"> </w:t>
      </w:r>
      <w:r>
        <w:t xml:space="preserve">for individual components was not provided, the material emission factors used aim to</w:t>
      </w:r>
      <w:r>
        <w:t xml:space="preserve"> </w:t>
      </w:r>
      <w:r>
        <w:t xml:space="preserve">incorporate these upstream impacts. A full, direct application of the LSR Standard would</w:t>
      </w:r>
      <w:r>
        <w:t xml:space="preserve"> </w:t>
      </w:r>
      <w:r>
        <w:t xml:space="preserve">require granular traceability of all raw materials to their specific land origins, which</w:t>
      </w:r>
      <w:r>
        <w:t xml:space="preserve"> </w:t>
      </w:r>
      <w:r>
        <w:t xml:space="preserve">is beyond the scope of this general PCF given the available parameters. pnxhwvfwne commits</w:t>
      </w:r>
      <w:r>
        <w:t xml:space="preserve"> </w:t>
      </w:r>
      <w:r>
        <w:t xml:space="preserve">to further integrating LSR requirements as supply chain traceability improves.</w:t>
      </w:r>
    </w:p>
    <w:bookmarkEnd w:id="39"/>
    <w:bookmarkStart w:id="40" w:name="scope-3-compliance-95-coverage"/>
    <w:p>
      <w:pPr>
        <w:pStyle w:val="Heading3"/>
      </w:pPr>
      <w:r>
        <w:t xml:space="preserve">4.6 Scope 3 Compliance (95% Coverage)</w:t>
      </w:r>
    </w:p>
    <w:p>
      <w:pPr>
        <w:pStyle w:val="FirstParagraph"/>
      </w:pPr>
      <w:r>
        <w:t xml:space="preserve">The comprehensive inclusion of Purchased Goods and Services (materials), Upstream</w:t>
      </w:r>
      <w:r>
        <w:t xml:space="preserve"> </w:t>
      </w:r>
      <w:r>
        <w:t xml:space="preserve">Transportation and Distribution, Use of Sold Products, and End-of-Life Treatment of Sold Products</w:t>
      </w:r>
      <w:r>
        <w:t xml:space="preserve"> </w:t>
      </w:r>
      <w:r>
        <w:t xml:space="preserve">ensures a significant coverage of the product\'s value chain emissions. These categories</w:t>
      </w:r>
      <w:r>
        <w:t xml:space="preserve"> </w:t>
      </w:r>
      <w:r>
        <w:t xml:space="preserve">are typically the most material for electronic products. Based on industry best practices</w:t>
      </w:r>
      <w:r>
        <w:t xml:space="preserve"> </w:t>
      </w:r>
      <w:r>
        <w:t xml:space="preserve">and the nature of hguhofousl, the emissions covered in this report are estimated to</w:t>
      </w:r>
      <w:r>
        <w:t xml:space="preserve"> </w:t>
      </w:r>
      <w:r>
        <w:t xml:space="preserve">represent well over 95% of the total relevant Scope 3 emissions, thus meeting the 2026</w:t>
      </w:r>
      <w:r>
        <w:t xml:space="preserve"> </w:t>
      </w:r>
      <w:r>
        <w:t xml:space="preserve">requirements for robust Scope 3 reporting.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7" w:name="review-and-reporting"/>
    <w:p>
      <w:pPr>
        <w:pStyle w:val="Heading2"/>
      </w:pPr>
      <w:r>
        <w:t xml:space="preserve">5. Review and Reporting</w:t>
      </w:r>
    </w:p>
    <w:bookmarkStart w:id="42" w:name="emission-hotspots"/>
    <w:p>
      <w:pPr>
        <w:pStyle w:val="Heading3"/>
      </w:pPr>
      <w:r>
        <w:t xml:space="preserve">5.1 Emission Hotspots</w:t>
      </w:r>
    </w:p>
    <w:p>
      <w:pPr>
        <w:pStyle w:val="FirstParagraph"/>
      </w:pPr>
      <w:r>
        <w:t xml:space="preserve">The analysis reveals the following major emission hotspots for hguhofousl: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Materials (Scope 3, Category 1):</w:t>
      </w:r>
      <w:r>
        <w:t xml:space="preserve"> </w:t>
      </w:r>
      <w:r>
        <w:t xml:space="preserve">This category accounts for the largest</w:t>
      </w:r>
      <w:r>
        <w:t xml:space="preserve"> </w:t>
      </w:r>
      <w:r>
        <w:t xml:space="preserve">share of emissions (13.32 kg CO2e or ~57.5% of total PCF). The Lithium-ion battery</w:t>
      </w:r>
      <w:r>
        <w:t xml:space="preserve"> </w:t>
      </w:r>
      <w:r>
        <w:t xml:space="preserve">and other electronic components are particularly carbon-intensive due to their complex</w:t>
      </w:r>
      <w:r>
        <w:t xml:space="preserve"> </w:t>
      </w:r>
      <w:r>
        <w:t xml:space="preserve">manufacturing processes and raw material extraction.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 Phase (Scope 3, Category 11):</w:t>
      </w:r>
      <w:r>
        <w:t xml:space="preserve"> </w:t>
      </w:r>
      <w:r>
        <w:t xml:space="preserve">The electricity consumed during the</w:t>
      </w:r>
      <w:r>
        <w:t xml:space="preserve"> </w:t>
      </w:r>
      <w:r>
        <w:t xml:space="preserve">product\'s 3-year lifespan contributes significantly (7.50 kg CO2e or ~32.4% of total PCF),</w:t>
      </w:r>
      <w:r>
        <w:t xml:space="preserve"> </w:t>
      </w:r>
      <w:r>
        <w:t xml:space="preserve">highlighting the importance of energy efficiency and renewable energy sources at the</w:t>
      </w:r>
      <w:r>
        <w:t xml:space="preserve"> </w:t>
      </w:r>
      <w:r>
        <w:t xml:space="preserve">consumer level.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Production Energy (Scope 2):</w:t>
      </w:r>
      <w:r>
        <w:t xml:space="preserve"> </w:t>
      </w:r>
      <w:r>
        <w:t xml:space="preserve">Despite 50% renewable energy usage, the</w:t>
      </w:r>
      <w:r>
        <w:t xml:space="preserve"> </w:t>
      </w:r>
      <w:r>
        <w:t xml:space="preserve">remaining grid electricity in China still contributes 1.75 kg CO2e (~7.6% of total PCF).</w:t>
      </w:r>
    </w:p>
    <w:bookmarkEnd w:id="42"/>
    <w:bookmarkStart w:id="43" w:name="data-reliability-and-limitations"/>
    <w:p>
      <w:pPr>
        <w:pStyle w:val="Heading3"/>
      </w:pPr>
      <w:r>
        <w:t xml:space="preserve">5.2 Data Reliability and Limitations</w:t>
      </w:r>
    </w:p>
    <w:p>
      <w:pPr>
        <w:pStyle w:val="FirstParagraph"/>
      </w:pPr>
      <w:r>
        <w:t xml:space="preserve">The calculations in this report are based on the parameters provided by pnxhwvfwne and</w:t>
      </w:r>
      <w:r>
        <w:t xml:space="preserve"> </w:t>
      </w:r>
      <w:r>
        <w:t xml:space="preserve">industry-average emission factors for materials, energy, and transport. While these</w:t>
      </w:r>
      <w:r>
        <w:t xml:space="preserve"> </w:t>
      </w:r>
      <w:r>
        <w:t xml:space="preserve">factors are widely recognized (e.g., from databases aligned with Ecoinvent/DEFRA principles),</w:t>
      </w:r>
      <w:r>
        <w:t xml:space="preserve"> </w:t>
      </w:r>
      <w:r>
        <w:t xml:space="preserve">their generic nature introduces a degree of uncertainty. Primary data from specific</w:t>
      </w:r>
      <w:r>
        <w:t xml:space="preserve"> </w:t>
      </w:r>
      <w:r>
        <w:t xml:space="preserve">suppliers and transport providers would enhance accuracy. Assumptions for missing</w:t>
      </w:r>
      <w:r>
        <w:t xml:space="preserve"> </w:t>
      </w:r>
      <w:r>
        <w:t xml:space="preserve">specific data points have been made and clearly stated. The use of estimated emission</w:t>
      </w:r>
      <w:r>
        <w:t xml:space="preserve"> </w:t>
      </w:r>
      <w:r>
        <w:t xml:space="preserve">factors for certain elements (e.g., last-mile delivery, generalized electronic components)</w:t>
      </w:r>
      <w:r>
        <w:t xml:space="preserve"> </w:t>
      </w:r>
      <w:r>
        <w:t xml:space="preserve">represents a limitation, though chosen to ensure comprehensive coverage.</w:t>
      </w:r>
    </w:p>
    <w:bookmarkEnd w:id="43"/>
    <w:bookmarkStart w:id="46" w:name="recommendations-for-reduction"/>
    <w:p>
      <w:pPr>
        <w:pStyle w:val="Heading3"/>
      </w:pPr>
      <w:r>
        <w:t xml:space="preserve">5.3 Recommendations for Reduction</w:t>
      </w:r>
    </w:p>
    <w:p>
      <w:pPr>
        <w:pStyle w:val="FirstParagraph"/>
      </w:pPr>
      <w:r>
        <w:t xml:space="preserve">Based on the identified hotspots, pnxhwvfwne can consider the following strategies to reduce the PCF of hguhofousl: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Material Optimization:</w:t>
      </w:r>
    </w:p>
    <w:p>
      <w:pPr>
        <w:numPr>
          <w:ilvl w:val="1"/>
          <w:numId w:val="1008"/>
        </w:numPr>
        <w:pStyle w:val="Compact"/>
      </w:pPr>
      <w:r>
        <w:rPr>
          <w:bCs/>
          <w:b/>
        </w:rPr>
        <w:t xml:space="preserve">Explore Lower-Carbon Materials:</w:t>
      </w:r>
      <w:r>
        <w:t xml:space="preserve"> </w:t>
      </w:r>
      <w:r>
        <w:t xml:space="preserve">Investigate alternative materials for the casing and internal components with lower embodied carbon, such as recycled plastics (e.g., recycled ABS which can reduce CO2e by 81%), bio-based materials, or lightweight designs to reduce overall material consumption.</w:t>
      </w:r>
    </w:p>
    <w:p>
      <w:pPr>
        <w:numPr>
          <w:ilvl w:val="1"/>
          <w:numId w:val="1008"/>
        </w:numPr>
        <w:pStyle w:val="Compact"/>
      </w:pPr>
      <w:r>
        <w:rPr>
          <w:bCs/>
          <w:b/>
        </w:rPr>
        <w:t xml:space="preserve">Battery Sourcing:</w:t>
      </w:r>
      <w:r>
        <w:t xml:space="preserve"> </w:t>
      </w:r>
      <w:r>
        <w:t xml:space="preserve">Collaborate with battery suppliers to understand their specific carbon footprint and prioritize suppliers using renewable energy in their production and/or innovative lower-carbon manufacturing processes.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Production Efficiency &amp; Renewable Energy: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Increase Renewable Energy Sourcing in China:</w:t>
      </w:r>
      <w:r>
        <w:t xml:space="preserve"> </w:t>
      </w:r>
      <w:r>
        <w:t xml:space="preserve">Further increase the share of renewable energy used at the manufacturing facility in China to reduce Scope 2 emissions.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Process Optimization:</w:t>
      </w:r>
      <w:r>
        <w:t xml:space="preserve"> </w:t>
      </w:r>
      <w:r>
        <w:t xml:space="preserve">Implement energy-efficient manufacturing processes to reduce the overall energy intensity per unit.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Use Phase Engagement:</w:t>
      </w:r>
    </w:p>
    <w:p>
      <w:pPr>
        <w:numPr>
          <w:ilvl w:val="1"/>
          <w:numId w:val="1010"/>
        </w:numPr>
        <w:pStyle w:val="Compact"/>
      </w:pPr>
      <w:r>
        <w:rPr>
          <w:bCs/>
          <w:b/>
        </w:rPr>
        <w:t xml:space="preserve">Enhance Product Energy Efficiency:</w:t>
      </w:r>
      <w:r>
        <w:t xml:space="preserve"> </w:t>
      </w:r>
      <w:r>
        <w:t xml:space="preserve">Design hguhofousl for even lower energy consumption during its use phase.</w:t>
      </w:r>
    </w:p>
    <w:p>
      <w:pPr>
        <w:numPr>
          <w:ilvl w:val="1"/>
          <w:numId w:val="1010"/>
        </w:numPr>
        <w:pStyle w:val="Compact"/>
      </w:pPr>
      <w:r>
        <w:rPr>
          <w:bCs/>
          <w:b/>
        </w:rPr>
        <w:t xml:space="preserve">Promote Renewable Energy to Consumers:</w:t>
      </w:r>
      <w:r>
        <w:t xml:space="preserve"> </w:t>
      </w:r>
      <w:r>
        <w:t xml:space="preserve">Educate end-users on the benefits of powering their devices with renewable electricity.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Circular Economy Initiatives:</w:t>
      </w:r>
    </w:p>
    <w:p>
      <w:pPr>
        <w:numPr>
          <w:ilvl w:val="1"/>
          <w:numId w:val="1011"/>
        </w:numPr>
        <w:pStyle w:val="Compact"/>
      </w:pPr>
      <w:r>
        <w:rPr>
          <w:bCs/>
          <w:b/>
        </w:rPr>
        <w:t xml:space="preserve">Strengthen Take-back Programs:</w:t>
      </w:r>
      <w:r>
        <w:t xml:space="preserve"> </w:t>
      </w:r>
      <w:r>
        <w:t xml:space="preserve">Expand and promote regional take-back programs [eziqwowsxy] to ensure a higher percentage of products are collected and properly recycled.</w:t>
      </w:r>
    </w:p>
    <w:p>
      <w:pPr>
        <w:numPr>
          <w:ilvl w:val="1"/>
          <w:numId w:val="1011"/>
        </w:numPr>
        <w:pStyle w:val="Compact"/>
      </w:pPr>
      <w:r>
        <w:rPr>
          <w:bCs/>
          <w:b/>
        </w:rPr>
        <w:t xml:space="preserve">Design for Disassembly and Recyclability:</w:t>
      </w:r>
      <w:r>
        <w:t xml:space="preserve"> </w:t>
      </w:r>
      <w:r>
        <w:t xml:space="preserve">Optimize product design to facilitate easier disassembly and material recovery at end-of-life, maximizing the effectiveness of the 70% recyclability.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  <w:bookmarkStart w:id="44" w:name="page-num"/>
      <w:bookmarkEnd w:id="44"/>
      <w:r>
        <w:t xml:space="preserve"> </w:t>
      </w:r>
      <w:r>
        <w:t xml:space="preserve">of</w:t>
      </w:r>
      <w:r>
        <w:t xml:space="preserve"> </w:t>
      </w:r>
      <w:bookmarkStart w:id="45" w:name="page-count"/>
      <w:bookmarkEnd w:id="45"/>
    </w:p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hguhofousl</dc:title>
  <dc:creator/>
  <dc:description>Detailed Product Carbon Footprint (PCF) analysis report for hguhofousl, following GHG Protocol standards and 2026 LSR update requirements, prepared by Senior Sustainability Consultant qrlfngktrh for pnxhwvfwne.</dc:description>
  <dc:language>en</dc:language>
  <cp:keywords/>
  <dcterms:created xsi:type="dcterms:W3CDTF">2026-05-30T18:37:09Z</dcterms:created>
  <dcterms:modified xsi:type="dcterms:W3CDTF">2026-05-30T18:37:09Z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