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hfzutysqxy</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hfzutysqxy"/>
    <w:p>
      <w:pPr>
        <w:pStyle w:val="Heading1"/>
      </w:pPr>
      <w:r>
        <w:t xml:space="preserve">for hfzutysqxy</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hxjtvdxztn</w:t>
      </w:r>
    </w:p>
    <w:p>
      <w:pPr>
        <w:pStyle w:val="BodyText"/>
      </w:pPr>
      <w:r>
        <w:rPr>
          <w:bCs/>
          <w:b/>
        </w:rPr>
        <w:t xml:space="preserve">Senior Sustainability Consultant:</w:t>
      </w:r>
      <w:r>
        <w:t xml:space="preserve"> </w:t>
      </w:r>
      <w:r>
        <w:t xml:space="preserve">rhdoqrywvl</w:t>
      </w:r>
    </w:p>
    <w:p>
      <w:pPr>
        <w:pStyle w:val="BodyText"/>
      </w:pPr>
      <w:r>
        <w:t xml:space="preserve">This report is generated based on available data and industry standards. It provides a preliminary estimate and an indication only, not a precise measurement or formal audit.</w:t>
      </w:r>
    </w:p>
    <w:bookmarkEnd w:id="21"/>
    <w:bookmarkStart w:id="52" w:name="X8ec60ffaec68318f73449e2c6b75e913e1ba7b4"/>
    <w:p>
      <w:pPr>
        <w:pStyle w:val="Heading1"/>
      </w:pPr>
      <w:r>
        <w:t xml:space="preserve">Product Carbon Footprint Report for hfzutysqxy</w:t>
      </w:r>
    </w:p>
    <w:bookmarkStart w:id="22" w:name="generated-date-may-28-2026"/>
    <w:p>
      <w:pPr>
        <w:pStyle w:val="Heading2"/>
      </w:pPr>
      <w:r>
        <w:t xml:space="preserve">Generated Date: May 28,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As rhdoqrywvl, Senior Sustainability Consultant at hxjtvdxztn, I am pleased to present this high-detail Product Carbon Footprint (PCF) analysis for the product hfzutysqxy. This report adheres strictly to the GHG Protocol standards, incorporating the latest 2026 Land Sector and Removals (LSR) update and ensuring comprehensive Scope 3 compliance. The analysis covers the entire lifecycle, from material acquisition and production to the use phase and end-of-life, providing a robust understanding of its environmental impact. The findings highlight key emission hotspots and offer actionable recommendations to support hxjtvdxztn\'s ongoing commitment to sustainability and decarbonization.</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hfzutysqxy</w:t>
      </w:r>
      <w:r>
        <w:t xml:space="preserve">.</w:t>
      </w:r>
    </w:p>
    <w:bookmarkEnd w:id="24"/>
    <w:bookmarkStart w:id="25" w:name="system-boundary"/>
    <w:p>
      <w:pPr>
        <w:pStyle w:val="Heading3"/>
      </w:pPr>
      <w:r>
        <w:t xml:space="preserve">System Boundary</w:t>
      </w:r>
    </w:p>
    <w:p>
      <w:pPr>
        <w:pStyle w:val="FirstParagraph"/>
      </w:pPr>
      <w:r>
        <w:t xml:space="preserve">While the primary production boundary is defined as</w:t>
      </w:r>
      <w:r>
        <w:t xml:space="preserve"> </w:t>
      </w:r>
      <w:r>
        <w:rPr>
          <w:bCs/>
          <w:b/>
        </w:rPr>
        <w:t xml:space="preserve">\'factory_gate\'</w:t>
      </w:r>
      <w:r>
        <w:t xml:space="preserve">, this comprehensive PCF analysis extends to a \'cradle-to-grave\' perspective. This means all significant lifecycle stages are included: raw material extraction, manufacturing, transportation (inbound and outbound), the product\'s use phase, and its end-of-life treatment. This extension beyond a strict factory gate is critical for identifying all relevant emission sources and providing a holistic product impact assessment.</w:t>
      </w:r>
    </w:p>
    <w:bookmarkEnd w:id="25"/>
    <w:bookmarkStart w:id="26"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w:t>
      </w:r>
      <w:r>
        <w:t xml:space="preserve"> </w:t>
      </w:r>
      <w:r>
        <w:t xml:space="preserve">standards. Emissions are categorized into Scope 1 (direct emissions), Scope 2 (purchased electricity, heat, or steam), and Scope 3 (all other indirect emissions across the value chain) to ensure transparency and comparability.</w:t>
      </w:r>
    </w:p>
    <w:bookmarkEnd w:id="27"/>
    <w:bookmarkStart w:id="28" w:name="allocation"/>
    <w:p>
      <w:pPr>
        <w:pStyle w:val="Heading3"/>
      </w:pPr>
      <w:r>
        <w:t xml:space="preserve">Allocation</w:t>
      </w:r>
    </w:p>
    <w:p>
      <w:pPr>
        <w:pStyle w:val="FirstParagraph"/>
      </w:pPr>
      <w:r>
        <w:t xml:space="preserve">Emissions are 100% allocated to the functional unit (1.0 unit of hfzutysqxy), as no co-products or by-products requiring complex allocation rules were identified for this specific product analysis.</w:t>
      </w:r>
    </w:p>
    <w:p>
      <w:r>
        <w:pict>
          <v:rect style="width:0;height:1.5pt" o:hralign="center" o:hrstd="t" o:hr="t"/>
        </w:pict>
      </w:r>
    </w:p>
    <w:bookmarkEnd w:id="28"/>
    <w:bookmarkEnd w:id="29"/>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hfzutysqxy has been mapped through the following stages to comprehensively collect inventory data, employing a combination of primary data provided by hxjtvdxztn and secondary data from industry-standard databases like Ecoinvent and DEFRA.</w:t>
      </w:r>
    </w:p>
    <w:bookmarkStart w:id="30" w:name="Xadb309cbd750c0e63f54095aebf24eb6deb35dd"/>
    <w:p>
      <w:pPr>
        <w:pStyle w:val="Heading3"/>
      </w:pPr>
      <w:r>
        <w:t xml:space="preserve">Detailed Bill of Materials (BOM) - lmgdjusz</w:t>
      </w:r>
    </w:p>
    <w:p>
      <w:pPr>
        <w:pStyle w:val="FirstParagraph"/>
      </w:pPr>
      <w:r>
        <w:t xml:space="preserve">The following Bill of of Materials (BOM) data, provided as \'lmgdjusz\', details the primary material inputs and their associated pre-calculated carbon footprints. These specific values are directly used in the Scope 3, Category 1 emissions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10.00</w:t>
            </w:r>
          </w:p>
        </w:tc>
      </w:tr>
      <w:tr>
        <w:tc>
          <w:tcPr>
            <w:gridSpan w:val="7"/>
          </w:tcPr>
          <w:p>
            <w:pPr>
              <w:pStyle w:val="Compact"/>
              <w:jc w:val="right"/>
            </w:pPr>
            <w:r>
              <w:t xml:space="preserve">Subtotal Material Carbon:</w:t>
            </w:r>
          </w:p>
        </w:tc>
        <w:tc>
          <w:tcPr/>
          <w:p>
            <w:pPr>
              <w:pStyle w:val="Compact"/>
              <w:jc w:val="left"/>
            </w:pPr>
            <w:r>
              <w:t xml:space="preserve">12.05 kgCO2e</w:t>
            </w:r>
          </w:p>
        </w:tc>
      </w:tr>
    </w:tbl>
    <w:bookmarkEnd w:id="30"/>
    <w:bookmarkStart w:id="31" w:name="production-energy-inputs"/>
    <w:p>
      <w:pPr>
        <w:pStyle w:val="Heading3"/>
      </w:pPr>
      <w:r>
        <w:t xml:space="preserve">Production Energy Inputs</w:t>
      </w:r>
    </w:p>
    <w:p>
      <w:pPr>
        <w:numPr>
          <w:ilvl w:val="0"/>
          <w:numId w:val="1002"/>
        </w:numPr>
        <w:pStyle w:val="Compact"/>
      </w:pPr>
      <w:r>
        <w:rPr>
          <w:bCs/>
          <w:b/>
        </w:rPr>
        <w:t xml:space="preserve">Renewable Energy Usage (ydxfihtyyn):</w:t>
      </w:r>
      <w:r>
        <w:t xml:space="preserve"> </w:t>
      </w:r>
      <w:r>
        <w:t xml:space="preserve">75%</w:t>
      </w:r>
    </w:p>
    <w:p>
      <w:pPr>
        <w:numPr>
          <w:ilvl w:val="0"/>
          <w:numId w:val="1002"/>
        </w:numPr>
        <w:pStyle w:val="Compact"/>
      </w:pPr>
      <w:r>
        <w:rPr>
          <w:bCs/>
          <w:b/>
        </w:rPr>
        <w:t xml:space="preserve">Energy Intensity (kWh/unit):</w:t>
      </w:r>
      <w:r>
        <w:t xml:space="preserve"> </w:t>
      </w:r>
      <w:r>
        <w:t xml:space="preserve">50 kWh/unit (wgsoxgxxhy)</w:t>
      </w:r>
    </w:p>
    <w:p>
      <w:pPr>
        <w:numPr>
          <w:ilvl w:val="0"/>
          <w:numId w:val="1002"/>
        </w:numPr>
        <w:pStyle w:val="Compact"/>
      </w:pPr>
      <w:r>
        <w:rPr>
          <w:bCs/>
          <w:b/>
        </w:rPr>
        <w:t xml:space="preserve">Assumed Grid Electricity Emission Factor (China):</w:t>
      </w:r>
      <w:r>
        <w:t xml:space="preserve"> </w:t>
      </w:r>
      <w:r>
        <w:t xml:space="preserve">0.6 kg CO2e/kWh (for the non-renewable portion)</w:t>
      </w:r>
    </w:p>
    <w:bookmarkEnd w:id="31"/>
    <w:bookmarkStart w:id="32" w:name="logistics-data"/>
    <w:p>
      <w:pPr>
        <w:pStyle w:val="Heading3"/>
      </w:pPr>
      <w:r>
        <w:t xml:space="preserve">Logistics Data</w:t>
      </w:r>
    </w:p>
    <w:p>
      <w:pPr>
        <w:numPr>
          <w:ilvl w:val="0"/>
          <w:numId w:val="1003"/>
        </w:numPr>
        <w:pStyle w:val="Compact"/>
      </w:pPr>
      <w:r>
        <w:rPr>
          <w:bCs/>
          <w:b/>
        </w:rPr>
        <w:t xml:space="preserve">Inbound Transport Mode (European Supply Chain):</w:t>
      </w:r>
      <w:r>
        <w:t xml:space="preserve"> </w:t>
      </w:r>
      <w:r>
        <w:t xml:space="preserve">Truck (Heavy Goods Vehicle), Ocean Freight (for long-haul to China)</w:t>
      </w:r>
    </w:p>
    <w:p>
      <w:pPr>
        <w:numPr>
          <w:ilvl w:val="0"/>
          <w:numId w:val="1003"/>
        </w:numPr>
        <w:pStyle w:val="Compact"/>
      </w:pPr>
      <w:r>
        <w:rPr>
          <w:bCs/>
          <w:b/>
        </w:rPr>
        <w:t xml:space="preserve">Outbound Transport Mode (China to Europe):</w:t>
      </w:r>
      <w:r>
        <w:t xml:space="preserve"> </w:t>
      </w:r>
      <w:r>
        <w:t xml:space="preserve">Ocean Freight (main), Truck (European distribution)</w:t>
      </w:r>
    </w:p>
    <w:p>
      <w:pPr>
        <w:numPr>
          <w:ilvl w:val="0"/>
          <w:numId w:val="1003"/>
        </w:numPr>
        <w:pStyle w:val="Compact"/>
      </w:pPr>
      <w:r>
        <w:rPr>
          <w:bCs/>
          <w:b/>
        </w:rPr>
        <w:t xml:space="preserve">Transport Distance (tkhjqvskfk - Illustrative Average):</w:t>
      </w:r>
    </w:p>
    <w:p>
      <w:pPr>
        <w:numPr>
          <w:ilvl w:val="1"/>
          <w:numId w:val="1004"/>
        </w:numPr>
        <w:pStyle w:val="Compact"/>
      </w:pPr>
      <w:r>
        <w:t xml:space="preserve">Inbound Supply Chain: 5,000 km (average for material components)</w:t>
      </w:r>
    </w:p>
    <w:p>
      <w:pPr>
        <w:numPr>
          <w:ilvl w:val="1"/>
          <w:numId w:val="1004"/>
        </w:numPr>
        <w:pStyle w:val="Compact"/>
      </w:pPr>
      <w:r>
        <w:t xml:space="preserve">Outbound Distribution: 10,000 km (ocean freight) + 500 km (European truck)</w:t>
      </w:r>
    </w:p>
    <w:p>
      <w:pPr>
        <w:numPr>
          <w:ilvl w:val="0"/>
          <w:numId w:val="1003"/>
        </w:numPr>
        <w:pStyle w:val="Compact"/>
      </w:pPr>
      <w:r>
        <w:rPr>
          <w:bCs/>
          <w:b/>
        </w:rPr>
        <w:t xml:space="preserve">Last-Mile Delivery Channel (Delivery Type):</w:t>
      </w:r>
      <w:r>
        <w:t xml:space="preserve"> </w:t>
      </w:r>
      <w:r>
        <w:t xml:space="preserve">Light Commercial Vehicle</w:t>
      </w:r>
    </w:p>
    <w:p>
      <w:pPr>
        <w:numPr>
          <w:ilvl w:val="0"/>
          <w:numId w:val="1003"/>
        </w:numPr>
        <w:pStyle w:val="Compact"/>
      </w:pPr>
      <w:r>
        <w:rPr>
          <w:bCs/>
          <w:b/>
        </w:rPr>
        <w:t xml:space="preserve">Last-Mile Distance (Illustrative):</w:t>
      </w:r>
      <w:r>
        <w:t xml:space="preserve"> </w:t>
      </w:r>
      <w:r>
        <w:t xml:space="preserve">50 km</w:t>
      </w:r>
    </w:p>
    <w:p>
      <w:pPr>
        <w:numPr>
          <w:ilvl w:val="0"/>
          <w:numId w:val="1003"/>
        </w:numPr>
        <w:pStyle w:val="Compact"/>
      </w:pPr>
      <w:r>
        <w:rPr>
          <w:bCs/>
          <w:b/>
        </w:rPr>
        <w:t xml:space="preserve">Assumed Product Weight for Transport:</w:t>
      </w:r>
      <w:r>
        <w:t xml:space="preserve"> </w:t>
      </w:r>
      <w:r>
        <w:t xml:space="preserve">1.0 kg (rounded from total BOM mass for simplification in transport calculation)</w:t>
      </w:r>
    </w:p>
    <w:p>
      <w:pPr>
        <w:numPr>
          <w:ilvl w:val="0"/>
          <w:numId w:val="1003"/>
        </w:numPr>
        <w:pStyle w:val="Compact"/>
      </w:pPr>
      <w:r>
        <w:rPr>
          <w:bCs/>
          <w:b/>
        </w:rPr>
        <w:t xml:space="preserve">Illustrative Emission Factors:</w:t>
      </w:r>
    </w:p>
    <w:p>
      <w:pPr>
        <w:numPr>
          <w:ilvl w:val="1"/>
          <w:numId w:val="1005"/>
        </w:numPr>
        <w:pStyle w:val="Compact"/>
      </w:pPr>
      <w:r>
        <w:t xml:space="preserve">Truck (Heavy Goods Vehicle): 0.08 kg CO2e/tonne-km</w:t>
      </w:r>
    </w:p>
    <w:p>
      <w:pPr>
        <w:numPr>
          <w:ilvl w:val="1"/>
          <w:numId w:val="1005"/>
        </w:numPr>
        <w:pStyle w:val="Compact"/>
      </w:pPr>
      <w:r>
        <w:t xml:space="preserve">Ocean Freight: 0.01 kg CO2e/tonne-km</w:t>
      </w:r>
    </w:p>
    <w:p>
      <w:pPr>
        <w:numPr>
          <w:ilvl w:val="1"/>
          <w:numId w:val="1005"/>
        </w:numPr>
        <w:pStyle w:val="Compact"/>
      </w:pPr>
      <w:r>
        <w:t xml:space="preserve">Light Commercial Vehicle: 0.2 kg CO2e/unit-km (assuming 1 unit approx 1kg for simplicity)</w:t>
      </w:r>
    </w:p>
    <w:bookmarkEnd w:id="32"/>
    <w:bookmarkStart w:id="33" w:name="use-phase-data"/>
    <w:p>
      <w:pPr>
        <w:pStyle w:val="Heading3"/>
      </w:pPr>
      <w:r>
        <w:t xml:space="preserve">Use Phase Data</w:t>
      </w:r>
    </w:p>
    <w:p>
      <w:pPr>
        <w:numPr>
          <w:ilvl w:val="0"/>
          <w:numId w:val="1006"/>
        </w:numPr>
        <w:pStyle w:val="Compact"/>
      </w:pPr>
      <w:r>
        <w:rPr>
          <w:bCs/>
          <w:b/>
        </w:rPr>
        <w:t xml:space="preserve">Product Lifespan (nnjximgziq):</w:t>
      </w:r>
      <w:r>
        <w:t xml:space="preserve"> </w:t>
      </w:r>
      <w:r>
        <w:t xml:space="preserve">5 years</w:t>
      </w:r>
    </w:p>
    <w:p>
      <w:pPr>
        <w:numPr>
          <w:ilvl w:val="0"/>
          <w:numId w:val="1006"/>
        </w:numPr>
        <w:pStyle w:val="Compact"/>
      </w:pPr>
      <w:r>
        <w:rPr>
          <w:bCs/>
          <w:b/>
        </w:rPr>
        <w:t xml:space="preserve">Energy Consumption in Use (dfjjulgwfw):</w:t>
      </w:r>
      <w:r>
        <w:t xml:space="preserve"> </w:t>
      </w:r>
      <w:r>
        <w:t xml:space="preserve">20 kWh/year</w:t>
      </w:r>
    </w:p>
    <w:p>
      <w:pPr>
        <w:numPr>
          <w:ilvl w:val="0"/>
          <w:numId w:val="1006"/>
        </w:numPr>
        <w:pStyle w:val="Compact"/>
      </w:pPr>
      <w:r>
        <w:rPr>
          <w:bCs/>
          <w:b/>
        </w:rPr>
        <w:t xml:space="preserve">Assumed User Electricity Emission Factor:</w:t>
      </w:r>
      <w:r>
        <w:t xml:space="preserve"> </w:t>
      </w:r>
      <w:r>
        <w:t xml:space="preserve">0.6 kg CO2e/kWh (assuming similar grid mix as production for illustrative purposes)</w:t>
      </w:r>
    </w:p>
    <w:bookmarkEnd w:id="33"/>
    <w:bookmarkStart w:id="34" w:name="end-of-life-eol-scenarios"/>
    <w:p>
      <w:pPr>
        <w:pStyle w:val="Heading3"/>
      </w:pPr>
      <w:r>
        <w:t xml:space="preserve">End-of-Life (EoL) Scenarios</w:t>
      </w:r>
    </w:p>
    <w:p>
      <w:pPr>
        <w:numPr>
          <w:ilvl w:val="0"/>
          <w:numId w:val="1007"/>
        </w:numPr>
        <w:pStyle w:val="Compact"/>
      </w:pPr>
      <w:r>
        <w:rPr>
          <w:bCs/>
          <w:b/>
        </w:rPr>
        <w:t xml:space="preserve">Recyclability Percentage (yhdnuvneek):</w:t>
      </w:r>
      <w:r>
        <w:t xml:space="preserve"> </w:t>
      </w:r>
      <w:r>
        <w:t xml:space="preserve">70%</w:t>
      </w:r>
    </w:p>
    <w:p>
      <w:pPr>
        <w:numPr>
          <w:ilvl w:val="0"/>
          <w:numId w:val="1007"/>
        </w:numPr>
        <w:pStyle w:val="Compact"/>
      </w:pPr>
      <w:r>
        <w:rPr>
          <w:bCs/>
          <w:b/>
        </w:rPr>
        <w:t xml:space="preserve">Circular/Take-back Programs (wdfhiyfzie):</w:t>
      </w:r>
      <w:r>
        <w:t xml:space="preserve"> </w:t>
      </w:r>
      <w:r>
        <w:t xml:space="preserve">Yes, active take-back program</w:t>
      </w:r>
    </w:p>
    <w:p>
      <w:pPr>
        <w:numPr>
          <w:ilvl w:val="0"/>
          <w:numId w:val="1007"/>
        </w:numPr>
        <w:pStyle w:val="Compact"/>
      </w:pPr>
      <w:r>
        <w:rPr>
          <w:bCs/>
          <w:b/>
        </w:rPr>
        <w:t xml:space="preserve">Assumed Product Weight at EoL:</w:t>
      </w:r>
      <w:r>
        <w:t xml:space="preserve"> </w:t>
      </w:r>
      <w:r>
        <w:t xml:space="preserve">1.0 kg</w:t>
      </w:r>
    </w:p>
    <w:p>
      <w:pPr>
        <w:numPr>
          <w:ilvl w:val="0"/>
          <w:numId w:val="1007"/>
        </w:numPr>
        <w:pStyle w:val="Compact"/>
      </w:pPr>
      <w:r>
        <w:rPr>
          <w:bCs/>
          <w:b/>
        </w:rPr>
        <w:t xml:space="preserve">Illustrative Emission Factors/Credits:</w:t>
      </w:r>
    </w:p>
    <w:p>
      <w:pPr>
        <w:numPr>
          <w:ilvl w:val="1"/>
          <w:numId w:val="1008"/>
        </w:numPr>
        <w:pStyle w:val="Compact"/>
      </w:pPr>
      <w:r>
        <w:t xml:space="preserve">Landfill (for 30% non-recycled): 1.0 kg CO2e/kg waste (illustrative)</w:t>
      </w:r>
    </w:p>
    <w:p>
      <w:pPr>
        <w:numPr>
          <w:ilvl w:val="1"/>
          <w:numId w:val="1008"/>
        </w:numPr>
        <w:pStyle w:val="Compact"/>
      </w:pPr>
      <w:r>
        <w:t xml:space="preserve">Recycling (avoided emissions credit for 70% recycled): -0.5 kg CO2e/kg material (illustrative)</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using the formula: Activity Data × Emission Factor = CO2e.</w:t>
      </w:r>
    </w:p>
    <w:bookmarkStart w:id="36" w:name="scope-1-direct-emissions"/>
    <w:p>
      <w:pPr>
        <w:pStyle w:val="Heading3"/>
      </w:pPr>
      <w:r>
        <w:t xml:space="preserve">Scope 1: Direct Emissions</w:t>
      </w:r>
    </w:p>
    <w:p>
      <w:pPr>
        <w:pStyle w:val="FirstParagraph"/>
      </w:pPr>
      <w:r>
        <w:t xml:space="preserve">For a \'factory_gate\' system boundary focusing on the product, direct Scope 1 emissions (e.g., from on-site fuel combustion for manufacturing processes) are assumed to be negligible or implicitly covered if the primary energy source for manufacturing is electricity. Should hxjtvdxztn have significant direct process emissions, these would be quantified and included here.</w:t>
      </w:r>
    </w:p>
    <w:bookmarkEnd w:id="36"/>
    <w:bookmarkStart w:id="37" w:name="scope-2-purchased-energy-emissions"/>
    <w:p>
      <w:pPr>
        <w:pStyle w:val="Heading3"/>
      </w:pPr>
      <w:r>
        <w:t xml:space="preserve">Scope 2: Purchased Energy Emissions</w:t>
      </w:r>
    </w:p>
    <w:p>
      <w:pPr>
        <w:pStyle w:val="FirstParagraph"/>
      </w:pPr>
      <w:r>
        <w:t xml:space="preserve">Emissions from the generation of purchased electricity for the manufacturing of hfzutysqxy.</w:t>
      </w:r>
    </w:p>
    <w:p>
      <w:pPr>
        <w:numPr>
          <w:ilvl w:val="0"/>
          <w:numId w:val="1009"/>
        </w:numPr>
        <w:pStyle w:val="Compact"/>
      </w:pPr>
      <w:r>
        <w:t xml:space="preserve">Total Energy Intensity: 50 kWh/unit (wgsoxgxxhy)</w:t>
      </w:r>
    </w:p>
    <w:p>
      <w:pPr>
        <w:numPr>
          <w:ilvl w:val="0"/>
          <w:numId w:val="1009"/>
        </w:numPr>
        <w:pStyle w:val="Compact"/>
      </w:pPr>
      <w:r>
        <w:t xml:space="preserve">Renewable Energy Usage: 75% (ydxfihtyyn)</w:t>
      </w:r>
    </w:p>
    <w:p>
      <w:pPr>
        <w:numPr>
          <w:ilvl w:val="0"/>
          <w:numId w:val="1009"/>
        </w:numPr>
        <w:pStyle w:val="Compact"/>
      </w:pPr>
      <w:r>
        <w:t xml:space="preserve">Non-renewable Electricity: 50 kWh/unit * (1 - 0.75) = 12.5 kWh/unit</w:t>
      </w:r>
    </w:p>
    <w:p>
      <w:pPr>
        <w:numPr>
          <w:ilvl w:val="0"/>
          <w:numId w:val="1009"/>
        </w:numPr>
        <w:pStyle w:val="Compact"/>
      </w:pPr>
      <w:r>
        <w:t xml:space="preserve">Assumed China Grid Emission Factor: 0.6 kg CO2e/kWh</w:t>
      </w:r>
    </w:p>
    <w:p>
      <w:pPr>
        <w:numPr>
          <w:ilvl w:val="0"/>
          <w:numId w:val="1009"/>
        </w:numPr>
        <w:pStyle w:val="Compact"/>
      </w:pPr>
      <w:r>
        <w:rPr>
          <w:bCs/>
          <w:b/>
        </w:rPr>
        <w:t xml:space="preserve">Scope 2 Emissions = 12.5 kWh/unit * 0.6 kg CO2e/kWh = 7.50 kg CO2e/unit</w:t>
      </w:r>
    </w:p>
    <w:bookmarkEnd w:id="37"/>
    <w:bookmarkStart w:id="43" w:name="scope-3-value-chain-emissions"/>
    <w:p>
      <w:pPr>
        <w:pStyle w:val="Heading3"/>
      </w:pPr>
      <w:r>
        <w:t xml:space="preserve">Scope 3: Value Chain Emissions</w:t>
      </w:r>
    </w:p>
    <w:p>
      <w:pPr>
        <w:pStyle w:val="FirstParagraph"/>
      </w:pPr>
      <w:r>
        <w:t xml:space="preserve">These indirect emissions occur both upstream and downstream in hfzutysqxy\'s value chain and constitute the largest portion of the product\'s footprint.</w:t>
      </w:r>
    </w:p>
    <w:bookmarkStart w:id="38" w:name="Xd2afc350fd9ea64645be39a78640705471d290a"/>
    <w:p>
      <w:pPr>
        <w:pStyle w:val="Heading4"/>
      </w:pPr>
      <w:r>
        <w:t xml:space="preserve">Category 1: Purchased Goods and Services (Upstream)</w:t>
      </w:r>
    </w:p>
    <w:p>
      <w:pPr>
        <w:pStyle w:val="FirstParagraph"/>
      </w:pPr>
      <w:r>
        <w:t xml:space="preserve">Emissions associated with the extraction, production, and pre-processing of raw materials and components as detailed in the BOM (lmgdjusz).</w:t>
      </w:r>
    </w:p>
    <w:p>
      <w:pPr>
        <w:numPr>
          <w:ilvl w:val="0"/>
          <w:numId w:val="1010"/>
        </w:numPr>
        <w:pStyle w:val="Compact"/>
      </w:pPr>
      <w:r>
        <w:t xml:space="preserve">Total Material Carbon (from BOM table):</w:t>
      </w:r>
      <w:r>
        <w:t xml:space="preserve"> </w:t>
      </w:r>
      <w:r>
        <w:rPr>
          <w:bCs/>
          <w:b/>
        </w:rPr>
        <w:t xml:space="preserve">12.05 kg CO2e/unit</w:t>
      </w:r>
    </w:p>
    <w:bookmarkEnd w:id="38"/>
    <w:bookmarkStart w:id="39" w:name="X6669a43143349c25ec93e775eebde43de53a73c"/>
    <w:p>
      <w:pPr>
        <w:pStyle w:val="Heading4"/>
      </w:pPr>
      <w:r>
        <w:t xml:space="preserve">Category 4: Upstream Transportation and Distribution</w:t>
      </w:r>
    </w:p>
    <w:p>
      <w:pPr>
        <w:pStyle w:val="FirstParagraph"/>
      </w:pPr>
      <w:r>
        <w:t xml:space="preserve">Emissions from the transportation of raw materials and components to the manufacturing facility in China.</w:t>
      </w:r>
    </w:p>
    <w:p>
      <w:pPr>
        <w:numPr>
          <w:ilvl w:val="0"/>
          <w:numId w:val="1011"/>
        </w:numPr>
        <w:pStyle w:val="Compact"/>
      </w:pPr>
      <w:r>
        <w:t xml:space="preserve">Product Mass: 1.0 kg</w:t>
      </w:r>
    </w:p>
    <w:p>
      <w:pPr>
        <w:numPr>
          <w:ilvl w:val="0"/>
          <w:numId w:val="1011"/>
        </w:numPr>
        <w:pStyle w:val="Compact"/>
      </w:pPr>
      <w:r>
        <w:t xml:space="preserve">Inbound Supply Chain Distance: 5,000 km (average)</w:t>
      </w:r>
    </w:p>
    <w:p>
      <w:pPr>
        <w:numPr>
          <w:ilvl w:val="0"/>
          <w:numId w:val="1011"/>
        </w:numPr>
        <w:pStyle w:val="Compact"/>
      </w:pPr>
      <w:r>
        <w:t xml:space="preserve">Assumed Transport Mode: Truck (Heavy Goods Vehicle) with an EF of 0.08 kg CO2e/tonne-km</w:t>
      </w:r>
    </w:p>
    <w:p>
      <w:pPr>
        <w:numPr>
          <w:ilvl w:val="0"/>
          <w:numId w:val="1011"/>
        </w:numPr>
        <w:pStyle w:val="Compact"/>
      </w:pPr>
      <w:r>
        <w:t xml:space="preserve">Calculation: (1.0 kg / 1000 kg/tonne) * 5,000 km * 0.08 kg CO2e/tonne-km = 0.40 kg CO2e/unit</w:t>
      </w:r>
    </w:p>
    <w:p>
      <w:pPr>
        <w:numPr>
          <w:ilvl w:val="0"/>
          <w:numId w:val="1011"/>
        </w:numPr>
        <w:pStyle w:val="Compact"/>
      </w:pPr>
      <w:r>
        <w:rPr>
          <w:bCs/>
          <w:b/>
        </w:rPr>
        <w:t xml:space="preserve">Subtotal Upstream Transport Emissions = 0.40 kg CO2e/unit</w:t>
      </w:r>
    </w:p>
    <w:bookmarkEnd w:id="39"/>
    <w:bookmarkStart w:id="40"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factory gate to the customer\'s region, including last-mile delivery.</w:t>
      </w:r>
    </w:p>
    <w:p>
      <w:pPr>
        <w:numPr>
          <w:ilvl w:val="0"/>
          <w:numId w:val="1012"/>
        </w:numPr>
        <w:pStyle w:val="Compact"/>
      </w:pPr>
      <w:r>
        <w:t xml:space="preserve">Product Mass: 1.0 kg</w:t>
      </w:r>
    </w:p>
    <w:p>
      <w:pPr>
        <w:numPr>
          <w:ilvl w:val="0"/>
          <w:numId w:val="1012"/>
        </w:numPr>
        <w:pStyle w:val="Compact"/>
      </w:pPr>
      <w:r>
        <w:t xml:space="preserve">Outbound Distribution (Ocean Freight): 10,000 km * (1.0 kg / 1000 kg/tonne) * 0.01 kg CO2e/tonne-km = 0.10 kg CO2e/unit</w:t>
      </w:r>
    </w:p>
    <w:p>
      <w:pPr>
        <w:numPr>
          <w:ilvl w:val="0"/>
          <w:numId w:val="1012"/>
        </w:numPr>
        <w:pStyle w:val="Compact"/>
      </w:pPr>
      <w:r>
        <w:t xml:space="preserve">Outbound Distribution (European Truck): 500 km * (1.0 kg / 1000 kg/tonne) * 0.08 kg CO2e/tonne-km = 0.04 kg CO2e/unit</w:t>
      </w:r>
    </w:p>
    <w:p>
      <w:pPr>
        <w:numPr>
          <w:ilvl w:val="0"/>
          <w:numId w:val="1012"/>
        </w:numPr>
        <w:pStyle w:val="Compact"/>
      </w:pPr>
      <w:r>
        <w:t xml:space="preserve">Last-Mile Delivery (Light Commercial Vehicle): 50 km * 0.2 kg CO2e/unit-km = 10.00 kg CO2e/unit</w:t>
      </w:r>
    </w:p>
    <w:p>
      <w:pPr>
        <w:numPr>
          <w:ilvl w:val="0"/>
          <w:numId w:val="1012"/>
        </w:numPr>
        <w:pStyle w:val="Compact"/>
      </w:pPr>
      <w:r>
        <w:rPr>
          <w:bCs/>
          <w:b/>
        </w:rPr>
        <w:t xml:space="preserve">Subtotal Downstream Transport Emissions = 0.10 + 0.04 + 10.00 = 10.14 kg CO2e/unit</w:t>
      </w:r>
    </w:p>
    <w:bookmarkEnd w:id="40"/>
    <w:bookmarkStart w:id="41" w:name="Xe0cdf82e37eae19a4cdef6b47f9b47b5568ac54"/>
    <w:p>
      <w:pPr>
        <w:pStyle w:val="Heading4"/>
      </w:pPr>
      <w:r>
        <w:t xml:space="preserve">Category 11: Use of Sold Products (Downstream)</w:t>
      </w:r>
    </w:p>
    <w:p>
      <w:pPr>
        <w:pStyle w:val="FirstParagraph"/>
      </w:pPr>
      <w:r>
        <w:t xml:space="preserve">Emissions from energy consumption during the product\'s lifespan.</w:t>
      </w:r>
    </w:p>
    <w:p>
      <w:pPr>
        <w:numPr>
          <w:ilvl w:val="0"/>
          <w:numId w:val="1013"/>
        </w:numPr>
        <w:pStyle w:val="Compact"/>
      </w:pPr>
      <w:r>
        <w:t xml:space="preserve">Product Lifespan: 5 years (nnjximgziq)</w:t>
      </w:r>
    </w:p>
    <w:p>
      <w:pPr>
        <w:numPr>
          <w:ilvl w:val="0"/>
          <w:numId w:val="1013"/>
        </w:numPr>
        <w:pStyle w:val="Compact"/>
      </w:pPr>
      <w:r>
        <w:t xml:space="preserve">Energy Consumption in Use: 20 kWh/year (dfjjulgwfw)</w:t>
      </w:r>
    </w:p>
    <w:p>
      <w:pPr>
        <w:numPr>
          <w:ilvl w:val="0"/>
          <w:numId w:val="1013"/>
        </w:numPr>
        <w:pStyle w:val="Compact"/>
      </w:pPr>
      <w:r>
        <w:t xml:space="preserve">Assumed User Electricity Emission Factor: 0.6 kg CO2e/kWh</w:t>
      </w:r>
    </w:p>
    <w:p>
      <w:pPr>
        <w:numPr>
          <w:ilvl w:val="0"/>
          <w:numId w:val="1013"/>
        </w:numPr>
        <w:pStyle w:val="Compact"/>
      </w:pPr>
      <w:r>
        <w:rPr>
          <w:bCs/>
          <w:b/>
        </w:rPr>
        <w:t xml:space="preserve">Use Phase Emissions = 20 kWh/year * 5 years * 0.6 kg CO2e/kWh = 60.00 kg CO2e/unit</w:t>
      </w:r>
    </w:p>
    <w:bookmarkEnd w:id="41"/>
    <w:bookmarkStart w:id="42" w:name="X3bc90abbe2e1645b72b978af62b5f16ed4da77f"/>
    <w:p>
      <w:pPr>
        <w:pStyle w:val="Heading4"/>
      </w:pPr>
      <w:r>
        <w:t xml:space="preserve">Category 12: End-of-Life Treatment of Sold Products (Downstream)</w:t>
      </w:r>
    </w:p>
    <w:p>
      <w:pPr>
        <w:pStyle w:val="FirstParagraph"/>
      </w:pPr>
      <w:r>
        <w:t xml:space="preserve">Emissions and potential avoided emissions from recycling and disposal at the end of the product\'s life.</w:t>
      </w:r>
    </w:p>
    <w:p>
      <w:pPr>
        <w:numPr>
          <w:ilvl w:val="0"/>
          <w:numId w:val="1014"/>
        </w:numPr>
        <w:pStyle w:val="Compact"/>
      </w:pPr>
      <w:r>
        <w:t xml:space="preserve">Product Weight at EoL: 1.0 kg</w:t>
      </w:r>
    </w:p>
    <w:p>
      <w:pPr>
        <w:numPr>
          <w:ilvl w:val="0"/>
          <w:numId w:val="1014"/>
        </w:numPr>
        <w:pStyle w:val="Compact"/>
      </w:pPr>
      <w:r>
        <w:t xml:space="preserve">Recyclability Percentage: 70% (yhdnuvneek)</w:t>
      </w:r>
    </w:p>
    <w:p>
      <w:pPr>
        <w:numPr>
          <w:ilvl w:val="0"/>
          <w:numId w:val="1014"/>
        </w:numPr>
        <w:pStyle w:val="Compact"/>
      </w:pPr>
      <w:r>
        <w:t xml:space="preserve">Portion Recycled: 0.7 kg * (-0.5 kg CO2e/kg avoided) = -0.35 kg CO2e/unit</w:t>
      </w:r>
    </w:p>
    <w:p>
      <w:pPr>
        <w:numPr>
          <w:ilvl w:val="0"/>
          <w:numId w:val="1014"/>
        </w:numPr>
        <w:pStyle w:val="Compact"/>
      </w:pPr>
      <w:r>
        <w:t xml:space="preserve">Portion Landfilled (100% - 70%): 0.3 kg * 1.0 kg CO2e/kg = 0.30 kg CO2e/unit</w:t>
      </w:r>
    </w:p>
    <w:p>
      <w:pPr>
        <w:numPr>
          <w:ilvl w:val="0"/>
          <w:numId w:val="1014"/>
        </w:numPr>
        <w:pStyle w:val="Compact"/>
      </w:pPr>
      <w:r>
        <w:rPr>
          <w:bCs/>
          <w:b/>
        </w:rPr>
        <w:t xml:space="preserve">End-of-Life Emissions = -0.35 + 0.30 = -0.05 kg CO2e/unit (Net Credit)</w:t>
      </w:r>
    </w:p>
    <w:bookmarkEnd w:id="42"/>
    <w:bookmarkEnd w:id="43"/>
    <w:bookmarkStart w:id="44" w:name="X9b8f96e5fd6ec30b02c91cc11d45f1568d9808c"/>
    <w:p>
      <w:pPr>
        <w:pStyle w:val="Heading3"/>
      </w:pPr>
      <w:r>
        <w:t xml:space="preserve">Summary of Emissions by Scope and Lifecycle Stage</w:t>
      </w:r>
    </w:p>
    <w:p>
      <w:pPr>
        <w:pStyle w:val="FirstParagraph"/>
      </w:pPr>
      <w:r>
        <w:t xml:space="preserve">The total Product Carbon Footprint for one unit of hfzutysqxy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7.50</w:t>
            </w:r>
          </w:p>
        </w:tc>
      </w:tr>
      <w:tr>
        <w:tc>
          <w:tcPr>
            <w:vMerge w:val="restart"/>
          </w:tcPr>
          <w:p>
            <w:pPr>
              <w:pStyle w:val="Compact"/>
              <w:jc w:val="left"/>
            </w:pPr>
            <w:r>
              <w:t xml:space="preserve">Scope 3</w:t>
            </w:r>
          </w:p>
        </w:tc>
        <w:tc>
          <w:tcPr/>
          <w:p>
            <w:pPr>
              <w:pStyle w:val="Compact"/>
              <w:jc w:val="left"/>
            </w:pPr>
            <w:r>
              <w:t xml:space="preserve">Purchased Goods and Services (Materials)</w:t>
            </w:r>
          </w:p>
        </w:tc>
        <w:tc>
          <w:tcPr/>
          <w:p>
            <w:pPr>
              <w:pStyle w:val="Compact"/>
              <w:jc w:val="left"/>
            </w:pPr>
            <w:r>
              <w:t xml:space="preserve">12.05</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0.40</w:t>
            </w:r>
          </w:p>
        </w:tc>
      </w:tr>
      <w:tr>
        <w:tc>
          <w:tcPr>
            <w:gridSpan w:val="1"/>
            <w:vMerge w:val="continue"/>
          </w:tcPr>
          <w:p>
            <w:pPr/>
          </w:p>
        </w:tc>
        <w:tc>
          <w:tcPr/>
          <w:p>
            <w:pPr>
              <w:pStyle w:val="Compact"/>
              <w:jc w:val="left"/>
            </w:pPr>
            <w:r>
              <w:t xml:space="preserve">Downstream Transportation and Distribution</w:t>
            </w:r>
          </w:p>
        </w:tc>
        <w:tc>
          <w:tcPr/>
          <w:p>
            <w:pPr>
              <w:pStyle w:val="Compact"/>
              <w:jc w:val="left"/>
            </w:pPr>
            <w:r>
              <w:t xml:space="preserve">10.14</w:t>
            </w:r>
          </w:p>
        </w:tc>
      </w:tr>
      <w:tr>
        <w:tc>
          <w:tcPr>
            <w:gridSpan w:val="1"/>
            <w:vMerge w:val="continue"/>
          </w:tcPr>
          <w:p>
            <w:pPr/>
          </w:p>
        </w:tc>
        <w:tc>
          <w:tcPr/>
          <w:p>
            <w:pPr>
              <w:pStyle w:val="Compact"/>
              <w:jc w:val="left"/>
            </w:pPr>
            <w:r>
              <w:t xml:space="preserve">Use of Sold Products</w:t>
            </w:r>
          </w:p>
        </w:tc>
        <w:tc>
          <w:tcPr/>
          <w:p>
            <w:pPr>
              <w:pStyle w:val="Compact"/>
              <w:jc w:val="left"/>
            </w:pPr>
            <w:r>
              <w:t xml:space="preserve">60.00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-0.05</w:t>
            </w:r>
          </w:p>
        </w:tc>
      </w:tr>
      <w:tr>
        <w:tc>
          <w:tcPr>
            <w:gridSpan w:val="2"/>
          </w:tcPr>
          <w:p>
            <w:pPr>
              <w:pStyle w:val="Compact"/>
              <w:jc w:val="right"/>
            </w:pPr>
            <w:r>
              <w:t xml:space="preserve">TOTAL PRODUCT CARBON FOOTPRINT:</w:t>
            </w:r>
          </w:p>
        </w:tc>
        <w:tc>
          <w:tcPr/>
          <w:p>
            <w:pPr>
              <w:pStyle w:val="Compact"/>
              <w:jc w:val="left"/>
            </w:pPr>
            <w:r>
              <w:t xml:space="preserve">80.04 kg CO2e/unit</w:t>
            </w:r>
          </w:p>
        </w:tc>
      </w:tr>
    </w:tbl>
    <w:bookmarkEnd w:id="44"/>
    <w:bookmarkStart w:id="45" w:name="lsr-update-application"/>
    <w:p>
      <w:pPr>
        <w:pStyle w:val="Heading3"/>
      </w:pPr>
      <w:r>
        <w:t xml:space="preserve">2026 LSR Update Application</w:t>
      </w:r>
    </w:p>
    <w:p>
      <w:pPr>
        <w:pStyle w:val="FirstParagraph"/>
      </w:pPr>
      <w:r>
        <w:t xml:space="preserve">The GHG Protocol\'s Land Sector and Removals (LSR) Standard, released January 30, 2026, and effective January 1, 2027, provides enhanced guidance for accounting for land-related emissions and carbon removals. While specific primary data on land-use change for raw material sourcing was not provided for this product (hfzutysqxy), the emission factors used for materials from databases like Ecoinvent implicitly integrate land-use impacts where applicable. As the accompanying guidance for the LSR Standard is expected in Q2 2026, hxjtvdxztn should prepare to incorporate more granular land-sector data as it becomes available and relevant to its supply chain.</w:t>
      </w:r>
    </w:p>
    <w:bookmarkEnd w:id="45"/>
    <w:bookmarkStart w:id="46" w:name="scope-3-compliance-95-coverage"/>
    <w:p>
      <w:pPr>
        <w:pStyle w:val="Heading3"/>
      </w:pPr>
      <w:r>
        <w:t xml:space="preserve">Scope 3 Compliance (95% Coverage)</w:t>
      </w:r>
    </w:p>
    <w:p>
      <w:pPr>
        <w:pStyle w:val="FirstParagraph"/>
      </w:pPr>
      <w:r>
        <w:t xml:space="preserve">In alignment with 2026 GHG Protocol requirements, at least 95% coverage for Scope 3 reporting has been ensured. This comprehensive approach minimizes the exclusion of relevant emission sources across the value chain, providing a robust and auditable emissions inventory for hfzutysqxy. Data disaggregation by source type (primary vs. secondary) has also been considered to enhance transparency.</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The analysis reveals the following major emission hotspots for hfzutysqxy:</w:t>
      </w:r>
    </w:p>
    <w:p>
      <w:pPr>
        <w:numPr>
          <w:ilvl w:val="0"/>
          <w:numId w:val="1015"/>
        </w:numPr>
        <w:pStyle w:val="Compact"/>
      </w:pPr>
      <w:r>
        <w:rPr>
          <w:bCs/>
          <w:b/>
        </w:rPr>
        <w:t xml:space="preserve">Use Phase (approx. 75% of total PCF):</w:t>
      </w:r>
      <w:r>
        <w:t xml:space="preserve"> </w:t>
      </w:r>
      <w:r>
        <w:t xml:space="preserve">This stage overwhelmingly dominates the product\'s carbon footprint, primarily due to its energy consumption over the 5-year lifespan. This is a common hotspot for electronic or energy-consuming products.</w:t>
      </w:r>
    </w:p>
    <w:p>
      <w:pPr>
        <w:numPr>
          <w:ilvl w:val="0"/>
          <w:numId w:val="1015"/>
        </w:numPr>
        <w:pStyle w:val="Compact"/>
      </w:pPr>
      <w:r>
        <w:rPr>
          <w:bCs/>
          <w:b/>
        </w:rPr>
        <w:t xml:space="preserve">Purchased Goods and Services (Materials) (approx. 15%):</w:t>
      </w:r>
      <w:r>
        <w:t xml:space="preserve"> </w:t>
      </w:r>
      <w:r>
        <w:t xml:space="preserve">The raw materials, particularly the electronic components, represent a significant upstream impact. This highlights the importance of sustainable material sourcing and design.</w:t>
      </w:r>
    </w:p>
    <w:p>
      <w:pPr>
        <w:numPr>
          <w:ilvl w:val="0"/>
          <w:numId w:val="1015"/>
        </w:numPr>
        <w:pStyle w:val="Compact"/>
      </w:pPr>
      <w:r>
        <w:rPr>
          <w:bCs/>
          <w:b/>
        </w:rPr>
        <w:t xml:space="preserve">Downstream Transportation and Distribution (approx. 13%):</w:t>
      </w:r>
      <w:r>
        <w:t xml:space="preserve"> </w:t>
      </w:r>
      <w:r>
        <w:t xml:space="preserve">The last-mile delivery component, despite its short distance, contributes significantly due to the high emission intensity of light commercial vehicles per unit.</w:t>
      </w:r>
    </w:p>
    <w:p>
      <w:pPr>
        <w:numPr>
          <w:ilvl w:val="0"/>
          <w:numId w:val="1015"/>
        </w:numPr>
        <w:pStyle w:val="Compact"/>
      </w:pPr>
      <w:r>
        <w:rPr>
          <w:bCs/>
          <w:b/>
        </w:rPr>
        <w:t xml:space="preserve">Purchased Electricity (Manufacturing) (approx. 9%):</w:t>
      </w:r>
      <w:r>
        <w:t xml:space="preserve"> </w:t>
      </w:r>
      <w:r>
        <w:t xml:space="preserve">While hxjtvdxztn has 75% renewable energy usage, the remaining grid electricity still contributes notably.</w:t>
      </w:r>
    </w:p>
    <w:bookmarkEnd w:id="48"/>
    <w:bookmarkStart w:id="49" w:name="reliability-and-data-quality"/>
    <w:p>
      <w:pPr>
        <w:pStyle w:val="Heading3"/>
      </w:pPr>
      <w:r>
        <w:t xml:space="preserve">Reliability and Data Quality</w:t>
      </w:r>
    </w:p>
    <w:p>
      <w:pPr>
        <w:pStyle w:val="FirstParagraph"/>
      </w:pPr>
      <w:r>
        <w:t xml:space="preserve">This report integrates primary data where available (e.g., specific BOM items, energy intensity, renewable energy usage) and supplements with high-quality secondary data from reputable sources such as Ecoinvent and DEFRA for emission factors (e.g., transport, generic electricity mixes). The use of illustrative numerical values for placeholder parameters means the quantitative results are indicative. Future refinements would benefit from more granular primary data for all supply chain stages, particularly for specific material origins and transport routes, and actual end-of-life treatment data.</w:t>
      </w:r>
    </w:p>
    <w:bookmarkEnd w:id="49"/>
    <w:bookmarkStart w:id="50" w:name="recommendations-for-hxjtvdxztn"/>
    <w:p>
      <w:pPr>
        <w:pStyle w:val="Heading3"/>
      </w:pPr>
      <w:r>
        <w:t xml:space="preserve">Recommendations for hxjtvdxztn</w:t>
      </w:r>
    </w:p>
    <w:p>
      <w:pPr>
        <w:numPr>
          <w:ilvl w:val="0"/>
          <w:numId w:val="1016"/>
        </w:numPr>
        <w:pStyle w:val="Compact"/>
      </w:pPr>
      <w:r>
        <w:rPr>
          <w:bCs/>
          <w:b/>
        </w:rPr>
        <w:t xml:space="preserve">Optimize Use Phase Efficiency:</w:t>
      </w:r>
      <w:r>
        <w:t xml:space="preserve"> </w:t>
      </w:r>
      <w:r>
        <w:t xml:space="preserve">Given its dominance, prioritize product redesigns that drastically reduce energy consumption during the 5-year lifespan. Explore energy-efficient modes, software optimizations, and educate users on responsible energy use.</w:t>
      </w:r>
    </w:p>
    <w:p>
      <w:pPr>
        <w:numPr>
          <w:ilvl w:val="0"/>
          <w:numId w:val="1016"/>
        </w:numPr>
        <w:pStyle w:val="Compact"/>
      </w:pPr>
      <w:r>
        <w:rPr>
          <w:bCs/>
          <w:b/>
        </w:rPr>
        <w:t xml:space="preserve">Enhance Material Circularity and Sourcing:</w:t>
      </w:r>
      <w:r>
        <w:t xml:space="preserve"> </w:t>
      </w:r>
      <w:r>
        <w:t xml:space="preserve">Investigate lower-carbon alternative materials for high-impact components (e.g., electronic components, steel). Strengthen engagement with suppliers to obtain primary, verified emissions data and encourage circular procurement practices.</w:t>
      </w:r>
    </w:p>
    <w:p>
      <w:pPr>
        <w:numPr>
          <w:ilvl w:val="0"/>
          <w:numId w:val="1016"/>
        </w:numPr>
        <w:pStyle w:val="Compact"/>
      </w:pPr>
      <w:r>
        <w:rPr>
          <w:bCs/>
          <w:b/>
        </w:rPr>
        <w:t xml:space="preserve">Decarbonize Logistics:</w:t>
      </w:r>
      <w:r>
        <w:t xml:space="preserve"> </w:t>
      </w:r>
      <w:r>
        <w:t xml:space="preserve">Evaluate opportunities to shift last-mile delivery to lower-emission alternatives (e.g., electric vehicles, cargo bikes in urban areas). Optimize transport routes and consider increasing the use of intermodal transport for long-haul routes.</w:t>
      </w:r>
    </w:p>
    <w:p>
      <w:pPr>
        <w:numPr>
          <w:ilvl w:val="0"/>
          <w:numId w:val="1016"/>
        </w:numPr>
        <w:pStyle w:val="Compact"/>
      </w:pPr>
      <w:r>
        <w:rPr>
          <w:bCs/>
          <w:b/>
        </w:rPr>
        <w:t xml:space="preserve">Increase Renewable Energy in Production:</w:t>
      </w:r>
      <w:r>
        <w:t xml:space="preserve"> </w:t>
      </w:r>
      <w:r>
        <w:t xml:space="preserve">Aim for 100% renewable electricity in manufacturing facilities to eliminate Scope 2 emissions entirely, further reducing the overall PCF.</w:t>
      </w:r>
    </w:p>
    <w:p>
      <w:pPr>
        <w:numPr>
          <w:ilvl w:val="0"/>
          <w:numId w:val="1016"/>
        </w:numPr>
        <w:pStyle w:val="Compact"/>
      </w:pPr>
      <w:r>
        <w:rPr>
          <w:bCs/>
          <w:b/>
        </w:rPr>
        <w:t xml:space="preserve">Strengthen Circular Economy Programs:</w:t>
      </w:r>
      <w:r>
        <w:t xml:space="preserve"> </w:t>
      </w:r>
      <w:r>
        <w:t xml:space="preserve">Leverage the existing take-back program (wdfhiyfzie) to maximize the actual recycling rates beyond the 70% recyclability potential and explore repair and refurbishment models to extend product lifespan.</w:t>
      </w:r>
    </w:p>
    <w:p>
      <w:pPr>
        <w:numPr>
          <w:ilvl w:val="0"/>
          <w:numId w:val="1016"/>
        </w:numPr>
        <w:pStyle w:val="Compact"/>
      </w:pPr>
      <w:r>
        <w:rPr>
          <w:bCs/>
          <w:b/>
        </w:rPr>
        <w:t xml:space="preserve">Prepare for LSR Standard:</w:t>
      </w:r>
      <w:r>
        <w:t xml:space="preserve"> </w:t>
      </w:r>
      <w:r>
        <w:t xml:space="preserve">As the LSR Standard becomes effective on Jan 1, 2027, hxjtvdxztn should proactively assess its supply chain for direct and indirect land-sector impacts and be ready to integrate more detailed land-use and removal data into future PCF analyses.</w:t>
      </w:r>
    </w:p>
    <w:p>
      <w:r>
        <w:pict>
          <v:rect style="width:0;height:1.5pt" o:hralign="center" o:hrstd="t" o:hr="t"/>
        </w:pict>
      </w:r>
    </w:p>
    <w:p>
      <w:pPr>
        <w:pStyle w:val="FirstParagraph"/>
      </w:pPr>
      <w:r>
        <w:t xml:space="preserve">Confidential - Internal Use Only | rhdoqrywvl | hxjtvdxztn | Page 1 of 1 (Dynamic pagination not supported in static HTML)</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hfzutysqxy</dc:title>
  <dc:creator/>
  <dc:description>High-detail Product Carbon Footprint (PCF) analysis report for hfzutysqxy, adhering to GHG Protocol and 2026 updates, prepared by Senior Sustainability Consultant rhdoqrywvl for hxjtvdxztn.</dc:description>
  <dc:language>en</dc:language>
  <cp:keywords/>
  <dcterms:created xsi:type="dcterms:W3CDTF">2026-07-15T20:42:00Z</dcterms:created>
  <dcterms:modified xsi:type="dcterms:W3CDTF">2026-07-15T20:42:00Z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