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hfwqgxmogv</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rPr>
          <w:bCs/>
          <w:b/>
        </w:rPr>
        <w:t xml:space="preserve">Product:</w:t>
      </w:r>
      <w:r>
        <w:t xml:space="preserve"> </w:t>
      </w:r>
      <w:r>
        <w:t xml:space="preserve">hfwqgxmogv</w:t>
      </w:r>
    </w:p>
    <w:p>
      <w:pPr>
        <w:pStyle w:val="BodyText"/>
      </w:pPr>
      <w:r>
        <w:rPr>
          <w:bCs/>
          <w:b/>
        </w:rPr>
        <w:t xml:space="preserve">Company:</w:t>
      </w:r>
      <w:r>
        <w:t xml:space="preserve"> </w:t>
      </w:r>
      <w:r>
        <w:t xml:space="preserve">jfllfyises</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ltllkujein</w:t>
      </w:r>
    </w:p>
    <w:p>
      <w:pPr>
        <w:pStyle w:val="BodyText"/>
      </w:pPr>
      <w:r>
        <w:t xml:space="preserve">This report is generated based on available data and industry standards. While efforts have been made to ensure accuracy, the actual environmental impact may vary depending on specific operational details and data availability.</w:t>
      </w:r>
    </w:p>
    <w:bookmarkEnd w:id="20"/>
    <w:bookmarkStart w:id="55" w:name="Xfaefb3325d2e8e580112d86bc92df23ae86a7c2"/>
    <w:p>
      <w:pPr>
        <w:pStyle w:val="Heading1"/>
      </w:pPr>
      <w:r>
        <w:t xml:space="preserve">Product Carbon Footprint Report for hfwqgxmogv</w:t>
      </w:r>
    </w:p>
    <w:p>
      <w:pPr>
        <w:pStyle w:val="FirstParagraph"/>
      </w:pPr>
      <w:r>
        <w:rPr>
          <w:bCs/>
          <w:b/>
        </w:rPr>
        <w:t xml:space="preserve">Generated Date:</w:t>
      </w:r>
      <w:r>
        <w:t xml:space="preserve"> </w:t>
      </w:r>
      <w:r>
        <w:t xml:space="preserve">May 20, 2026</w: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hfwqgxmogv, manufactured by jfllfyises. The analysis adheres to the Greenhouse Gas (GHG) Protocol standards, including considerations for the forthcoming 2026 Land Sector and Removals (LSR) Standard update and the proposed 95% Scope 3 coverage requirement. The assessment covers the entire lifecycle of the product, from material acquisition to end-of-life, categorizing emissions into Scope 1, Scope 2, and Scope 3 as per GHG Protocol methodology. Key insights highlight emission hotspots across the product\'s value chain, providing jfllfyises with a foundation for targeted decarbonization strategies.</w:t>
      </w:r>
    </w:p>
    <w:p>
      <w:r>
        <w:pict>
          <v:rect style="width:0;height:1.5pt" o:hralign="center" o:hrstd="t" o:hr="t"/>
        </w:pict>
      </w:r>
    </w:p>
    <w:bookmarkEnd w:id="21"/>
    <w:bookmarkStart w:id="29" w:name="methodology-and-scope-definition"/>
    <w:p>
      <w:pPr>
        <w:pStyle w:val="Heading2"/>
      </w:pPr>
      <w:r>
        <w:t xml:space="preserve">1. Methodology and Scope Definition</w:t>
      </w:r>
    </w:p>
    <w:p>
      <w:pPr>
        <w:pStyle w:val="FirstParagraph"/>
      </w:pPr>
      <w:r>
        <w:t xml:space="preserve">The Product Carbon Footprint (PCF) analysis for hfwqgxmogv follows the five-step methodology prescribed by the GHG Protocol. This approach ensures a comprehensive and standardized assessment of greenhouse gas emissions throughout the product\'s lifecycle.</w:t>
      </w:r>
    </w:p>
    <w:bookmarkStart w:id="22" w:name="functional-unit"/>
    <w:p>
      <w:pPr>
        <w:pStyle w:val="Heading3"/>
      </w:pPr>
      <w:r>
        <w:t xml:space="preserve">1.1. Functional Unit</w:t>
      </w:r>
    </w:p>
    <w:p>
      <w:pPr>
        <w:numPr>
          <w:ilvl w:val="0"/>
          <w:numId w:val="1001"/>
        </w:numPr>
        <w:pStyle w:val="Compact"/>
      </w:pPr>
      <w:r>
        <w:t xml:space="preserve">The functional unit for this analysis is defined as</w:t>
      </w:r>
      <w:r>
        <w:t xml:space="preserve"> </w:t>
      </w:r>
      <w:r>
        <w:rPr>
          <w:bCs/>
          <w:b/>
        </w:rPr>
        <w:t xml:space="preserve">1.0 unit of hfwqgxmogv</w:t>
      </w:r>
      <w:r>
        <w:t xml:space="preserve">, providing a consistent basis for quantification and comparison.</w:t>
      </w:r>
    </w:p>
    <w:bookmarkEnd w:id="22"/>
    <w:bookmarkStart w:id="23" w:name="system-boundary"/>
    <w:p>
      <w:pPr>
        <w:pStyle w:val="Heading3"/>
      </w:pPr>
      <w:r>
        <w:t xml:space="preserve">1.2. System Boundary</w:t>
      </w:r>
    </w:p>
    <w:p>
      <w:pPr>
        <w:numPr>
          <w:ilvl w:val="0"/>
          <w:numId w:val="1002"/>
        </w:numPr>
        <w:pStyle w:val="Compact"/>
      </w:pPr>
      <w:r>
        <w:t xml:space="preserve">The system boundary for this PCF is</w:t>
      </w:r>
      <w:r>
        <w:t xml:space="preserve"> </w:t>
      </w:r>
      <w:r>
        <w:rPr>
          <w:bCs/>
          <w:b/>
        </w:rPr>
        <w:t xml:space="preserve">"factory_gate"</w:t>
      </w:r>
      <w:r>
        <w:t xml:space="preserve"> </w:t>
      </w:r>
      <w:r>
        <w:t xml:space="preserve">for the primary production emissions. However, to provide a holistic view of the product\'s impact, the analysis extends to a "cradle-to-grave" approach, encompassing material acquisition, manufacturing, upstream and downstream transportation, the use phase, and end-of-life treatment. This broader scope ensures compliance with comprehensive Scope 3 reporting.</w:t>
      </w:r>
    </w:p>
    <w:bookmarkEnd w:id="23"/>
    <w:bookmarkStart w:id="24"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(implying raw material sourcing or significant processing from Europe, transported to China for manufacturing).</w:t>
      </w:r>
    </w:p>
    <w:p>
      <w:pPr>
        <w:numPr>
          <w:ilvl w:val="0"/>
          <w:numId w:val="1003"/>
        </w:numPr>
        <w:pStyle w:val="Compact"/>
      </w:pPr>
      <w:r>
        <w:rPr>
          <w:bCs/>
          <w:b/>
        </w:rPr>
        <w:t xml:space="preserve">Assumed Use Phase Geography:</w:t>
      </w:r>
      <w:r>
        <w:t xml:space="preserve"> </w:t>
      </w:r>
      <w:r>
        <w:t xml:space="preserve">Europe (given the Europe-focused supply chain, it is assumed the product is primarily sold and used within Europe).</w:t>
      </w:r>
    </w:p>
    <w:bookmarkEnd w:id="24"/>
    <w:bookmarkStart w:id="25" w:name="allocation"/>
    <w:p>
      <w:pPr>
        <w:pStyle w:val="Heading3"/>
      </w:pPr>
      <w:r>
        <w:t xml:space="preserve">1.4. Allocation</w:t>
      </w:r>
    </w:p>
    <w:p>
      <w:pPr>
        <w:numPr>
          <w:ilvl w:val="0"/>
          <w:numId w:val="1004"/>
        </w:numPr>
        <w:pStyle w:val="Compact"/>
      </w:pPr>
      <w:r>
        <w:t xml:space="preserve">Emissions are allocated directly to the functional unit. No co-products are specified, so 100% of relevant emissions are allocated to the hfwqgxmogv product.</w:t>
      </w:r>
    </w:p>
    <w:bookmarkEnd w:id="25"/>
    <w:bookmarkStart w:id="26" w:name="accounting-standard"/>
    <w:p>
      <w:pPr>
        <w:pStyle w:val="Heading3"/>
      </w:pPr>
      <w:r>
        <w:t xml:space="preserve">1.5. Accounting Standard</w:t>
      </w:r>
    </w:p>
    <w:p>
      <w:pPr>
        <w:numPr>
          <w:ilvl w:val="0"/>
          <w:numId w:val="1005"/>
        </w:numPr>
        <w:pStyle w:val="Compact"/>
      </w:pPr>
      <w:r>
        <w:t xml:space="preserve">This PCF analysis is conducted in strict adherence to the</w:t>
      </w:r>
      <w:r>
        <w:t xml:space="preserve"> </w:t>
      </w:r>
      <w:r>
        <w:rPr>
          <w:bCs/>
          <w:b/>
        </w:rPr>
        <w:t xml:space="preserve">GHG Protocol Corporate Value Chain (Scope 3) Accounting and Reporting Standard</w:t>
      </w:r>
      <w:r>
        <w:t xml:space="preserve">. This includes categorizing emissions into Scope 1 (direct emissions), Scope 2 (indirect emissions from purchased energy), and Scope 3 (all other indirect emissions across the value chain).</w:t>
      </w:r>
    </w:p>
    <w:bookmarkEnd w:id="26"/>
    <w:bookmarkStart w:id="27" w:name="X504f4a86e01fdcfa46a4589bb1b5e0cfaad8629"/>
    <w:p>
      <w:pPr>
        <w:pStyle w:val="Heading3"/>
      </w:pPr>
      <w:r>
        <w:t xml:space="preserve">1.6. 2026 Land Sector and Removals (LSR) Standard Update</w:t>
      </w:r>
    </w:p>
    <w:p>
      <w:pPr>
        <w:pStyle w:val="FirstParagraph"/>
      </w:pPr>
      <w:r>
        <w:t xml:space="preserve">The GHG Protocol\'s new Land Sector and Removals Standard, released in January 2026 and taking effect January 1, 2027, provides crucial guidance for accounting for land sector emissions (e.g., land use change, land management, biogenic products) and CO2 removals. While the direct manufacturing of hfwqgxmogv is unlikely to have significant land-use change emissions at the factory level, this standard is critical for upstream supply chain components, especially if they involve agricultural products or forestry. For this analysis, direct land-use change emissions associated with the manufacturing facility itself are assumed to be negligible. However, the standard\'s principles inform the comprehensive scope of upstream material impacts, acknowledging future requirements for enhanced traceability and reporting in land-intensive supply chains. The accompanying guidance document is expected in the second quarter of 2026, which will further support implementation.</w:t>
      </w:r>
    </w:p>
    <w:bookmarkEnd w:id="27"/>
    <w:bookmarkStart w:id="28" w:name="scope-3-compliance-95-coverage"/>
    <w:p>
      <w:pPr>
        <w:pStyle w:val="Heading3"/>
      </w:pPr>
      <w:r>
        <w:t xml:space="preserve">1.7. Scope 3 Compliance (95% Coverage)</w:t>
      </w:r>
    </w:p>
    <w:p>
      <w:pPr>
        <w:pStyle w:val="FirstParagraph"/>
      </w:pPr>
      <w:r>
        <w:t xml:space="preserve">As per the proposed revisions to the GHG Protocol Scope 3 Standard, companies will need to account for and report at least 95% of total required Scope 3 emissions, with exclusions not exceeding 5%. This report aims for comprehensive Scope 3 coverage by including emissions from purchased goods and services, upstream transportation, downstream transportation, use of sold products, and end-of-life treatment. While specific primary data for all minor components might be challenging without a fully integrated system, the methodology prioritizes the inclusion and quantification of all significant Scope 3 emission sources to align with this stringent requirement.</w:t>
      </w:r>
    </w:p>
    <w:p>
      <w:r>
        <w:pict>
          <v:rect style="width:0;height:1.5pt" o:hralign="center" o:hrstd="t" o:hr="t"/>
        </w:pict>
      </w:r>
    </w:p>
    <w:bookmarkEnd w:id="28"/>
    <w:bookmarkEnd w:id="29"/>
    <w:bookmarkStart w:id="39" w:name="Xe53ce5ff818de4e0425362e3274525332416797"/>
    <w:p>
      <w:pPr>
        <w:pStyle w:val="Heading2"/>
      </w:pPr>
      <w:r>
        <w:t xml:space="preserve">2. Lifecycle Mapping (LCI Inventory Stages) and Data Collection</w:t>
      </w:r>
    </w:p>
    <w:p>
      <w:pPr>
        <w:pStyle w:val="FirstParagraph"/>
      </w:pPr>
      <w:r>
        <w:t xml:space="preserve">This section details the inventory data collected and the assumptions made for each lifecycle stage of hfwqgxmogv. Where specific data was provided via parameters, those values are used. Otherwise, industry-average emission factors from recognized databases (Ecoinvent, DEFRA, Climatiq, etc.) are applied.</w:t>
      </w:r>
    </w:p>
    <w:bookmarkStart w:id="30" w:name="Xac2d7a6e11d22f2c178b5ab655af6694b71fe6f"/>
    <w:p>
      <w:pPr>
        <w:pStyle w:val="Heading3"/>
      </w:pPr>
      <w:r>
        <w:t xml:space="preserve">2.1. Materials Acquisition &amp; Processing (Scope 3, Category 1 - Purchased Goods and Services)</w:t>
      </w:r>
    </w:p>
    <w:p>
      <w:pPr>
        <w:pStyle w:val="FirstParagraph"/>
      </w:pPr>
      <w:r>
        <w:t xml:space="preserve">The Detailed Bill of Materials (BOM) for dwmodkxs is used to calculate the emissions associated with raw material extraction, processing, and manufacturing up to the point of delivery to jfllfyises\' production facility. The \'Total Carbon\' for each BOM item is explicitly provided and summed.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Generic Material A</w:t>
            </w:r>
          </w:p>
        </w:tc>
        <w:tc>
          <w:tcPr/>
          <w:p>
            <w:pPr>
              <w:pStyle w:val="Compact"/>
              <w:jc w:val="left"/>
            </w:pPr>
            <w:r>
              <w:t xml:space="preserve">Metals</w:t>
            </w:r>
          </w:p>
        </w:tc>
        <w:tc>
          <w:tcPr/>
          <w:p>
            <w:pPr>
              <w:pStyle w:val="Compact"/>
              <w:jc w:val="left"/>
            </w:pPr>
            <w:r>
              <w:t xml:space="preserve">Extraction &amp; Refining</w:t>
            </w:r>
          </w:p>
        </w:tc>
        <w:tc>
          <w:tcPr/>
          <w:p>
            <w:pPr>
              <w:pStyle w:val="Compact"/>
              <w:jc w:val="left"/>
            </w:pPr>
            <w:r>
              <w:t xml:space="preserve">1.5</w:t>
            </w:r>
          </w:p>
        </w:tc>
        <w:tc>
          <w:tcPr/>
          <w:p>
            <w:pPr>
              <w:pStyle w:val="Compact"/>
              <w:jc w:val="left"/>
            </w:pPr>
            <w:r>
              <w:t xml:space="preserve">kg</w:t>
            </w:r>
          </w:p>
        </w:tc>
        <w:tc>
          <w:tcPr/>
          <w:p>
            <w:pPr>
              <w:pStyle w:val="Compact"/>
              <w:jc w:val="left"/>
            </w:pPr>
            <w:r>
              <w:t xml:space="preserve">(Provided by dwmodkxs)</w:t>
            </w:r>
          </w:p>
        </w:tc>
        <w:tc>
          <w:tcPr/>
          <w:p>
            <w:pPr>
              <w:pStyle w:val="Compact"/>
              <w:jc w:val="left"/>
            </w:pPr>
            <w:r>
              <w:t xml:space="preserve">5.0</w:t>
            </w:r>
          </w:p>
        </w:tc>
      </w:tr>
      <w:tr>
        <w:tc>
          <w:tcPr/>
          <w:p>
            <w:pPr>
              <w:pStyle w:val="Compact"/>
              <w:jc w:val="left"/>
            </w:pPr>
            <w:r>
              <w:t xml:space="preserve">M002</w:t>
            </w:r>
          </w:p>
        </w:tc>
        <w:tc>
          <w:tcPr/>
          <w:p>
            <w:pPr>
              <w:pStyle w:val="Compact"/>
              <w:jc w:val="left"/>
            </w:pPr>
            <w:r>
              <w:t xml:space="preserve">Generic Material B</w:t>
            </w:r>
          </w:p>
        </w:tc>
        <w:tc>
          <w:tcPr/>
          <w:p>
            <w:pPr>
              <w:pStyle w:val="Compact"/>
              <w:jc w:val="left"/>
            </w:pPr>
            <w:r>
              <w:t xml:space="preserve">Plastics</w:t>
            </w:r>
          </w:p>
        </w:tc>
        <w:tc>
          <w:tcPr/>
          <w:p>
            <w:pPr>
              <w:pStyle w:val="Compact"/>
              <w:jc w:val="left"/>
            </w:pPr>
            <w:r>
              <w:t xml:space="preserve">Polymerization</w:t>
            </w:r>
          </w:p>
        </w:tc>
        <w:tc>
          <w:tcPr/>
          <w:p>
            <w:pPr>
              <w:pStyle w:val="Compact"/>
              <w:jc w:val="left"/>
            </w:pPr>
            <w:r>
              <w:t xml:space="preserve">0.8</w:t>
            </w:r>
          </w:p>
        </w:tc>
        <w:tc>
          <w:tcPr/>
          <w:p>
            <w:pPr>
              <w:pStyle w:val="Compact"/>
              <w:jc w:val="left"/>
            </w:pPr>
            <w:r>
              <w:t xml:space="preserve">kg</w:t>
            </w:r>
          </w:p>
        </w:tc>
        <w:tc>
          <w:tcPr/>
          <w:p>
            <w:pPr>
              <w:pStyle w:val="Compact"/>
              <w:jc w:val="left"/>
            </w:pPr>
            <w:r>
              <w:t xml:space="preserve">(Provided by dwmodkxs)</w:t>
            </w:r>
          </w:p>
        </w:tc>
        <w:tc>
          <w:tcPr/>
          <w:p>
            <w:pPr>
              <w:pStyle w:val="Compact"/>
              <w:jc w:val="left"/>
            </w:pPr>
            <w:r>
              <w:t xml:space="preserve">2.5</w:t>
            </w:r>
          </w:p>
        </w:tc>
      </w:tr>
      <w:tr>
        <w:tc>
          <w:tcPr/>
          <w:p>
            <w:pPr>
              <w:pStyle w:val="Compact"/>
              <w:jc w:val="left"/>
            </w:pPr>
            <w:r>
              <w:t xml:space="preserve">M003</w:t>
            </w:r>
          </w:p>
        </w:tc>
        <w:tc>
          <w:tcPr/>
          <w:p>
            <w:pPr>
              <w:pStyle w:val="Compact"/>
              <w:jc w:val="left"/>
            </w:pPr>
            <w:r>
              <w:t xml:space="preserve">Generic Material C</w:t>
            </w:r>
          </w:p>
        </w:tc>
        <w:tc>
          <w:tcPr/>
          <w:p>
            <w:pPr>
              <w:pStyle w:val="Compact"/>
              <w:jc w:val="left"/>
            </w:pPr>
            <w:r>
              <w:t xml:space="preserve">Electronics</w:t>
            </w:r>
          </w:p>
        </w:tc>
        <w:tc>
          <w:tcPr/>
          <w:p>
            <w:pPr>
              <w:pStyle w:val="Compact"/>
              <w:jc w:val="left"/>
            </w:pPr>
            <w:r>
              <w:t xml:space="preserve">Component Fabrication</w:t>
            </w:r>
          </w:p>
        </w:tc>
        <w:tc>
          <w:tcPr/>
          <w:p>
            <w:pPr>
              <w:pStyle w:val="Compact"/>
              <w:jc w:val="left"/>
            </w:pPr>
            <w:r>
              <w:t xml:space="preserve">0.2</w:t>
            </w:r>
          </w:p>
        </w:tc>
        <w:tc>
          <w:tcPr/>
          <w:p>
            <w:pPr>
              <w:pStyle w:val="Compact"/>
              <w:jc w:val="left"/>
            </w:pPr>
            <w:r>
              <w:t xml:space="preserve">unit</w:t>
            </w:r>
          </w:p>
        </w:tc>
        <w:tc>
          <w:tcPr/>
          <w:p>
            <w:pPr>
              <w:pStyle w:val="Compact"/>
              <w:jc w:val="left"/>
            </w:pPr>
            <w:r>
              <w:t xml:space="preserve">(Provided by dwmodkxs)</w:t>
            </w:r>
          </w:p>
        </w:tc>
        <w:tc>
          <w:tcPr/>
          <w:p>
            <w:pPr>
              <w:pStyle w:val="Compact"/>
              <w:jc w:val="left"/>
            </w:pPr>
            <w:r>
              <w:t xml:space="preserve">1.0</w:t>
            </w:r>
          </w:p>
        </w:tc>
      </w:tr>
      <w:tr>
        <w:tc>
          <w:tcPr>
            <w:gridSpan w:val="7"/>
          </w:tcPr>
          <w:p>
            <w:pPr>
              <w:pStyle w:val="Compact"/>
              <w:jc w:val="right"/>
            </w:pPr>
            <w:r>
              <w:t xml:space="preserve">Total Material Emissions:</w:t>
            </w:r>
          </w:p>
        </w:tc>
        <w:tc>
          <w:tcPr/>
          <w:p>
            <w:pPr>
              <w:pStyle w:val="Compact"/>
              <w:jc w:val="left"/>
            </w:pPr>
            <w:r>
              <w:t xml:space="preserve">8.5 kg CO2e</w:t>
            </w:r>
          </w:p>
        </w:tc>
      </w:tr>
    </w:tbl>
    <w:p>
      <w:pPr>
        <w:pStyle w:val="BodyText"/>
      </w:pPr>
      <w:r>
        <w:rPr>
          <w:iCs/>
          <w:i/>
        </w:rPr>
        <w:t xml:space="preserve">Note: The \'Total Carbon\' values provided in the input parameter \'dwmodkxs\' are directly used here for material impact calculation.</w:t>
      </w:r>
    </w:p>
    <w:bookmarkEnd w:id="30"/>
    <w:bookmarkStart w:id="31" w:name="manufacturing-scope-1-2"/>
    <w:p>
      <w:pPr>
        <w:pStyle w:val="Heading3"/>
      </w:pPr>
      <w:r>
        <w:t xml:space="preserve">2.2. Manufacturing (Scope 1 &amp; 2)</w:t>
      </w:r>
    </w:p>
    <w:p>
      <w:pPr>
        <w:pStyle w:val="FirstParagraph"/>
      </w:pPr>
      <w:r>
        <w:t xml:space="preserve">The manufacturing process takes place in China. Emissions are primarily driven by purchased electricity and any direct on-site fuel combustion.</w:t>
      </w:r>
    </w:p>
    <w:p>
      <w:pPr>
        <w:numPr>
          <w:ilvl w:val="0"/>
          <w:numId w:val="1006"/>
        </w:numPr>
        <w:pStyle w:val="Compact"/>
      </w:pPr>
      <w:r>
        <w:rPr>
          <w:bCs/>
          <w:b/>
        </w:rPr>
        <w:t xml:space="preserve">Energy Intensity (kWh/unit):</w:t>
      </w:r>
      <w:r>
        <w:t xml:space="preserve"> </w:t>
      </w:r>
      <w:r>
        <w:t xml:space="preserve">15 kWh/unit</w:t>
      </w:r>
    </w:p>
    <w:p>
      <w:pPr>
        <w:numPr>
          <w:ilvl w:val="0"/>
          <w:numId w:val="1006"/>
        </w:numPr>
        <w:pStyle w:val="Compact"/>
      </w:pPr>
      <w:r>
        <w:rPr>
          <w:bCs/>
          <w:b/>
        </w:rPr>
        <w:t xml:space="preserve">Renewable Energy Usage:</w:t>
      </w:r>
      <w:r>
        <w:t xml:space="preserve"> </w:t>
      </w:r>
      <w:r>
        <w:t xml:space="preserve">30 %</w:t>
      </w:r>
    </w:p>
    <w:p>
      <w:pPr>
        <w:numPr>
          <w:ilvl w:val="0"/>
          <w:numId w:val="1006"/>
        </w:numPr>
        <w:pStyle w:val="Compact"/>
      </w:pPr>
      <w:r>
        <w:rPr>
          <w:bCs/>
          <w:b/>
        </w:rPr>
        <w:t xml:space="preserve">Assumed Total Energy Consumption for Production:</w:t>
      </w:r>
      <w:r>
        <w:t xml:space="preserve"> </w:t>
      </w:r>
      <w:r>
        <w:t xml:space="preserve">15 kWh/unit</w:t>
      </w:r>
    </w:p>
    <w:p>
      <w:pPr>
        <w:numPr>
          <w:ilvl w:val="0"/>
          <w:numId w:val="1006"/>
        </w:numPr>
        <w:pStyle w:val="Compact"/>
      </w:pPr>
      <w:r>
        <w:rPr>
          <w:bCs/>
          <w:b/>
        </w:rPr>
        <w:t xml:space="preserve">China Electricity Grid Emission Factor:</w:t>
      </w:r>
      <w:r>
        <w:t xml:space="preserve"> </w:t>
      </w:r>
      <w:r>
        <w:t xml:space="preserve">0.556 kg CO2e/kWh</w:t>
      </w:r>
    </w:p>
    <w:p>
      <w:pPr>
        <w:numPr>
          <w:ilvl w:val="0"/>
          <w:numId w:val="1006"/>
        </w:numPr>
        <w:pStyle w:val="Compact"/>
      </w:pPr>
      <w:r>
        <w:rPr>
          <w:bCs/>
          <w:b/>
        </w:rPr>
        <w:t xml:space="preserve">Non-Renewable Energy Consumption:</w:t>
      </w:r>
      <w:r>
        <w:t xml:space="preserve"> </w:t>
      </w:r>
      <w:r>
        <w:t xml:space="preserve">15 kWh/unit * (1 - 30/100) = 10.5 kWh/unit</w:t>
      </w:r>
    </w:p>
    <w:p>
      <w:pPr>
        <w:numPr>
          <w:ilvl w:val="0"/>
          <w:numId w:val="1006"/>
        </w:numPr>
        <w:pStyle w:val="Compact"/>
      </w:pPr>
      <w:r>
        <w:rPr>
          <w:bCs/>
          <w:b/>
        </w:rPr>
        <w:t xml:space="preserve">Emissions from Purchased Electricity (Scope 2):</w:t>
      </w:r>
      <w:r>
        <w:t xml:space="preserve"> </w:t>
      </w:r>
      <w:r>
        <w:t xml:space="preserve">10.5 kWh/unit * 0.556 kg CO2e/kWh = 5.838 kg CO2e/unit</w:t>
      </w:r>
    </w:p>
    <w:p>
      <w:pPr>
        <w:pStyle w:val="FirstParagraph"/>
      </w:pPr>
      <w:r>
        <w:rPr>
          <w:iCs/>
          <w:i/>
        </w:rPr>
        <w:t xml:space="preserve">Note: Scope 1 emissions from direct fuel combustion at the manufacturing site are assumed to be negligible unless specific data is provided.</w:t>
      </w:r>
    </w:p>
    <w:bookmarkEnd w:id="31"/>
    <w:bookmarkStart w:id="34" w:name="X10349a6df935e50b25e8e54ab016a393057cdce"/>
    <w:p>
      <w:pPr>
        <w:pStyle w:val="Heading3"/>
      </w:pPr>
      <w:r>
        <w:t xml:space="preserve">2.3. Transportation &amp; Distribution (Scope 3, Categories 4 &amp; 9)</w:t>
      </w:r>
    </w:p>
    <w:p>
      <w:pPr>
        <w:pStyle w:val="FirstParagraph"/>
      </w:pPr>
      <w:r>
        <w:t xml:space="preserve">This phase includes the transport of raw materials to the manufacturing facility (upstream) and the transport of the finished product to the customer (downstream).</w:t>
      </w:r>
    </w:p>
    <w:p>
      <w:pPr>
        <w:numPr>
          <w:ilvl w:val="0"/>
          <w:numId w:val="1007"/>
        </w:numPr>
        <w:pStyle w:val="Compact"/>
      </w:pPr>
      <w:r>
        <w:rPr>
          <w:bCs/>
          <w:b/>
        </w:rPr>
        <w:t xml:space="preserve">Product Weight (assumed for calculation):</w:t>
      </w:r>
      <w:r>
        <w:t xml:space="preserve"> </w:t>
      </w:r>
      <w:r>
        <w:t xml:space="preserve">1.0 kg/unit (as no specific product weight for hfwqgxmogv was provided).</w:t>
      </w:r>
    </w:p>
    <w:p>
      <w:pPr>
        <w:numPr>
          <w:ilvl w:val="0"/>
          <w:numId w:val="1007"/>
        </w:numPr>
        <w:pStyle w:val="Compact"/>
      </w:pPr>
      <w:r>
        <w:rPr>
          <w:bCs/>
          <w:b/>
        </w:rPr>
        <w:t xml:space="preserve">Transport Distance:</w:t>
      </w:r>
      <w:r>
        <w:t xml:space="preserve"> </w:t>
      </w:r>
      <w:r>
        <w:t xml:space="preserve">kwexpupsri km (interpreted as total relevant distance). For this analysis, we assume a representative intercontinental distance.</w:t>
      </w:r>
    </w:p>
    <w:p>
      <w:pPr>
        <w:numPr>
          <w:ilvl w:val="0"/>
          <w:numId w:val="1007"/>
        </w:numPr>
        <w:pStyle w:val="Compact"/>
      </w:pPr>
      <w:r>
        <w:rPr>
          <w:bCs/>
          <w:b/>
        </w:rPr>
        <w:t xml:space="preserve">Transport Mode:</w:t>
      </w:r>
      <w:r>
        <w:t xml:space="preserve"> </w:t>
      </w:r>
      <w:r>
        <w:t xml:space="preserve">Select Mode (Assumed: Ocean Freight for intercontinental, Road Freight for continental/local).</w:t>
      </w:r>
    </w:p>
    <w:p>
      <w:pPr>
        <w:numPr>
          <w:ilvl w:val="0"/>
          <w:numId w:val="1007"/>
        </w:numPr>
        <w:pStyle w:val="Compact"/>
      </w:pPr>
      <w:r>
        <w:rPr>
          <w:bCs/>
          <w:b/>
        </w:rPr>
        <w:t xml:space="preserve">Last-Mile Delivery Channel:</w:t>
      </w:r>
      <w:r>
        <w:t xml:space="preserve"> </w:t>
      </w:r>
      <w:r>
        <w:t xml:space="preserve">Delivery Type (Assumed: Road Freight).</w:t>
      </w:r>
    </w:p>
    <w:bookmarkStart w:id="32" w:name="X24c8ea2320631610f613c01029953dc23675a45"/>
    <w:p>
      <w:pPr>
        <w:pStyle w:val="Heading4"/>
      </w:pPr>
      <w:r>
        <w:t xml:space="preserve">2.3.1. Upstream Transportation (Raw Materials from Europe to China - Scope 3, Category 4)</w:t>
      </w:r>
    </w:p>
    <w:p>
      <w:pPr>
        <w:pStyle w:val="FirstParagraph"/>
      </w:pPr>
      <w:r>
        <w:t xml:space="preserve">Assumptions for a "Europe Focused" supply chain to a "Final Production Country: China":</w:t>
      </w:r>
    </w:p>
    <w:p>
      <w:pPr>
        <w:numPr>
          <w:ilvl w:val="0"/>
          <w:numId w:val="1008"/>
        </w:numPr>
        <w:pStyle w:val="Compact"/>
      </w:pPr>
      <w:r>
        <w:rPr>
          <w:bCs/>
          <w:b/>
        </w:rPr>
        <w:t xml:space="preserve">Ocean Freight Distance (Assumed):</w:t>
      </w:r>
      <w:r>
        <w:t xml:space="preserve"> </w:t>
      </w:r>
      <w:r>
        <w:t xml:space="preserve">15,000 km (e.g., major shipping route Europe to China)</w:t>
      </w:r>
    </w:p>
    <w:p>
      <w:pPr>
        <w:numPr>
          <w:ilvl w:val="0"/>
          <w:numId w:val="1008"/>
        </w:numPr>
        <w:pStyle w:val="Compact"/>
      </w:pPr>
      <w:r>
        <w:rPr>
          <w:bCs/>
          <w:b/>
        </w:rPr>
        <w:t xml:space="preserve">Road Freight Distance within China (Assumed):</w:t>
      </w:r>
      <w:r>
        <w:t xml:space="preserve"> </w:t>
      </w:r>
      <w:r>
        <w:t xml:space="preserve">500 km (from port to factory)</w:t>
      </w:r>
    </w:p>
    <w:p>
      <w:pPr>
        <w:numPr>
          <w:ilvl w:val="0"/>
          <w:numId w:val="1008"/>
        </w:numPr>
        <w:pStyle w:val="Compact"/>
      </w:pPr>
      <w:r>
        <w:rPr>
          <w:bCs/>
          <w:b/>
        </w:rPr>
        <w:t xml:space="preserve">Ocean Freight Emission Factor:</w:t>
      </w:r>
      <w:r>
        <w:t xml:space="preserve"> </w:t>
      </w:r>
      <w:r>
        <w:t xml:space="preserve">0.016 kg CO2e/tonne-km</w:t>
      </w:r>
    </w:p>
    <w:p>
      <w:pPr>
        <w:numPr>
          <w:ilvl w:val="0"/>
          <w:numId w:val="1008"/>
        </w:numPr>
        <w:pStyle w:val="Compact"/>
      </w:pPr>
      <w:r>
        <w:rPr>
          <w:bCs/>
          <w:b/>
        </w:rPr>
        <w:t xml:space="preserve">Road Freight Emission Factor:</w:t>
      </w:r>
      <w:r>
        <w:t xml:space="preserve"> </w:t>
      </w:r>
      <w:r>
        <w:t xml:space="preserve">0.069 kg CO2e/tonne-km</w:t>
      </w:r>
    </w:p>
    <w:p>
      <w:pPr>
        <w:numPr>
          <w:ilvl w:val="0"/>
          <w:numId w:val="1008"/>
        </w:numPr>
        <w:pStyle w:val="Compact"/>
      </w:pPr>
      <w:r>
        <w:rPr>
          <w:bCs/>
          <w:b/>
        </w:rPr>
        <w:t xml:space="preserve">Total Upstream Transport Emissions:</w:t>
      </w:r>
      <w:r>
        <w:t xml:space="preserve"> </w:t>
      </w:r>
      <w:r>
        <w:t xml:space="preserve">(1.0 kg/unit * 15000 km * 0.016 kg CO2e/tonne-km / 1000 kg/tonne) + (1.0 kg/unit * 500 km * 0.069 kg CO2e/tonne-km / 1000 kg/tonne) = 0.2745 kg CO2e/unit</w:t>
      </w:r>
    </w:p>
    <w:bookmarkEnd w:id="32"/>
    <w:bookmarkStart w:id="33" w:name="X31b44730abe711e967c9c9fc44350b2092ecd46"/>
    <w:p>
      <w:pPr>
        <w:pStyle w:val="Heading4"/>
      </w:pPr>
      <w:r>
        <w:t xml:space="preserve">2.3.2. Downstream Transportation (Product from China to Europe - Scope 3, Category 9)</w:t>
      </w:r>
    </w:p>
    <w:p>
      <w:pPr>
        <w:pStyle w:val="FirstParagraph"/>
      </w:pPr>
      <w:r>
        <w:t xml:space="preserve">Assumptions for finished product delivery:</w:t>
      </w:r>
    </w:p>
    <w:p>
      <w:pPr>
        <w:numPr>
          <w:ilvl w:val="0"/>
          <w:numId w:val="1009"/>
        </w:numPr>
        <w:pStyle w:val="Compact"/>
      </w:pPr>
      <w:r>
        <w:rPr>
          <w:bCs/>
          <w:b/>
        </w:rPr>
        <w:t xml:space="preserve">Ocean Freight Distance (Assumed):</w:t>
      </w:r>
      <w:r>
        <w:t xml:space="preserve"> </w:t>
      </w:r>
      <w:r>
        <w:t xml:space="preserve">15,000 km (from China to Europe)</w:t>
      </w:r>
    </w:p>
    <w:p>
      <w:pPr>
        <w:numPr>
          <w:ilvl w:val="0"/>
          <w:numId w:val="1009"/>
        </w:numPr>
        <w:pStyle w:val="Compact"/>
      </w:pPr>
      <w:r>
        <w:rPr>
          <w:bCs/>
          <w:b/>
        </w:rPr>
        <w:t xml:space="preserve">Last-Mile Road Freight in Europe (Assumed):</w:t>
      </w:r>
      <w:r>
        <w:t xml:space="preserve"> </w:t>
      </w:r>
      <w:r>
        <w:t xml:space="preserve">500 km (from port/distribution center to customer)</w:t>
      </w:r>
    </w:p>
    <w:p>
      <w:pPr>
        <w:numPr>
          <w:ilvl w:val="0"/>
          <w:numId w:val="1009"/>
        </w:numPr>
        <w:pStyle w:val="Compact"/>
      </w:pPr>
      <w:r>
        <w:rPr>
          <w:bCs/>
          <w:b/>
        </w:rPr>
        <w:t xml:space="preserve">Total Downstream Transport Emissions:</w:t>
      </w:r>
      <w:r>
        <w:t xml:space="preserve"> </w:t>
      </w:r>
      <w:r>
        <w:t xml:space="preserve">(1.0 kg/unit * 15000 km * 0.016 kg CO2e/tonne-km / 1000 kg/tonne) + (1.0 kg/unit * 500 km * 0.069 kg CO2e/tonne-km / 1000 kg/tonne) = 0.2745 kg CO2e/unit</w:t>
      </w:r>
    </w:p>
    <w:bookmarkEnd w:id="33"/>
    <w:bookmarkEnd w:id="34"/>
    <w:bookmarkStart w:id="35" w:name="Xe72837a908ad344b018b3447ff671a3dec19470"/>
    <w:p>
      <w:pPr>
        <w:pStyle w:val="Heading3"/>
      </w:pPr>
      <w:r>
        <w:t xml:space="preserve">2.4. Use Phase (Scope 3, Category 11 - Use of Sold Products)</w:t>
      </w:r>
    </w:p>
    <w:p>
      <w:pPr>
        <w:pStyle w:val="FirstParagraph"/>
      </w:pPr>
      <w:r>
        <w:t xml:space="preserve">This phase accounts for the energy consumed during the product\'s operational lifetime.</w:t>
      </w:r>
    </w:p>
    <w:p>
      <w:pPr>
        <w:numPr>
          <w:ilvl w:val="0"/>
          <w:numId w:val="1010"/>
        </w:numPr>
        <w:pStyle w:val="Compact"/>
      </w:pPr>
      <w:r>
        <w:rPr>
          <w:bCs/>
          <w:b/>
        </w:rPr>
        <w:t xml:space="preserve">Product Lifespan:</w:t>
      </w:r>
      <w:r>
        <w:t xml:space="preserve"> </w:t>
      </w:r>
      <w:r>
        <w:t xml:space="preserve">5 years</w:t>
      </w:r>
    </w:p>
    <w:p>
      <w:pPr>
        <w:numPr>
          <w:ilvl w:val="0"/>
          <w:numId w:val="1010"/>
        </w:numPr>
        <w:pStyle w:val="Compact"/>
      </w:pPr>
      <w:r>
        <w:rPr>
          <w:bCs/>
          <w:b/>
        </w:rPr>
        <w:t xml:space="preserve">Energy Consumption in Use:</w:t>
      </w:r>
      <w:r>
        <w:t xml:space="preserve"> </w:t>
      </w:r>
      <w:r>
        <w:t xml:space="preserve">75 kWh (total over lifespan, per unit)</w:t>
      </w:r>
    </w:p>
    <w:p>
      <w:pPr>
        <w:numPr>
          <w:ilvl w:val="0"/>
          <w:numId w:val="1010"/>
        </w:numPr>
        <w:pStyle w:val="Compact"/>
      </w:pPr>
      <w:r>
        <w:rPr>
          <w:bCs/>
          <w:b/>
        </w:rPr>
        <w:t xml:space="preserve">Assumed Electricity Grid Emission Factor for Europe (Use Phase):</w:t>
      </w:r>
      <w:r>
        <w:t xml:space="preserve"> </w:t>
      </w:r>
      <w:r>
        <w:t xml:space="preserve">0.181 kg CO2e/kWh (PwC 2024 average for Europe)</w:t>
      </w:r>
    </w:p>
    <w:p>
      <w:pPr>
        <w:numPr>
          <w:ilvl w:val="0"/>
          <w:numId w:val="1010"/>
        </w:numPr>
        <w:pStyle w:val="Compact"/>
      </w:pPr>
      <w:r>
        <w:rPr>
          <w:bCs/>
          <w:b/>
        </w:rPr>
        <w:t xml:space="preserve">Total Use Phase Emissions:</w:t>
      </w:r>
      <w:r>
        <w:t xml:space="preserve"> </w:t>
      </w:r>
      <w:r>
        <w:t xml:space="preserve">75 kWh * 0.181 kg CO2e/kWh = 13.575 kg CO2e/unit</w:t>
      </w:r>
    </w:p>
    <w:bookmarkEnd w:id="35"/>
    <w:bookmarkStart w:id="38" w:name="Xe0da3ae5c42600f436bdf9037896cf99fcaf8b4"/>
    <w:p>
      <w:pPr>
        <w:pStyle w:val="Heading3"/>
      </w:pPr>
      <w:r>
        <w:t xml:space="preserve">2.5. End-of-Life (EoL) Treatment (Scope 3, Category 12 - End-of-Life Treatment of Sold Products)</w:t>
      </w:r>
    </w:p>
    <w:p>
      <w:pPr>
        <w:pStyle w:val="FirstParagraph"/>
      </w:pPr>
      <w:r>
        <w:t xml:space="preserve">This phase considers the emissions and potential avoided emissions associated with the disposal or recycling of the product\'s materials.</w:t>
      </w:r>
    </w:p>
    <w:p>
      <w:pPr>
        <w:numPr>
          <w:ilvl w:val="0"/>
          <w:numId w:val="1011"/>
        </w:numPr>
        <w:pStyle w:val="Compact"/>
      </w:pPr>
      <w:r>
        <w:rPr>
          <w:bCs/>
          <w:b/>
        </w:rPr>
        <w:t xml:space="preserve">Recyclability Percentage:</w:t>
      </w:r>
      <w:r>
        <w:t xml:space="preserve"> </w:t>
      </w:r>
      <w:r>
        <w:t xml:space="preserve">70 %</w:t>
      </w:r>
    </w:p>
    <w:p>
      <w:pPr>
        <w:numPr>
          <w:ilvl w:val="0"/>
          <w:numId w:val="1011"/>
        </w:numPr>
        <w:pStyle w:val="Compact"/>
      </w:pPr>
      <w:r>
        <w:rPr>
          <w:bCs/>
          <w:b/>
        </w:rPr>
        <w:t xml:space="preserve">Circular/Take-back Programs:</w:t>
      </w:r>
      <w:r>
        <w:t xml:space="preserve"> </w:t>
      </w:r>
      <w:r>
        <w:t xml:space="preserve">vghjltdvuy (Mentioned as existing, implying some products are returned for proper EoL handling).</w:t>
      </w:r>
    </w:p>
    <w:p>
      <w:pPr>
        <w:numPr>
          <w:ilvl w:val="0"/>
          <w:numId w:val="1011"/>
        </w:numPr>
        <w:pStyle w:val="Compact"/>
      </w:pPr>
      <w:r>
        <w:rPr>
          <w:bCs/>
          <w:b/>
        </w:rPr>
        <w:t xml:space="preserve">Total Product Material Weight for EoL (Sum of Qty from BOM):</w:t>
      </w:r>
      <w:r>
        <w:t xml:space="preserve"> </w:t>
      </w:r>
      <w:r>
        <w:t xml:space="preserve">2.5 kg</w:t>
      </w:r>
    </w:p>
    <w:bookmarkStart w:id="36" w:name="X224bd21fd521d7db64f2305f918740c73087a4d"/>
    <w:p>
      <w:pPr>
        <w:pStyle w:val="Heading4"/>
      </w:pPr>
      <w:r>
        <w:t xml:space="preserve">2.5.1. Emissions from Disposal (Non-Recycled Portion)</w:t>
      </w:r>
    </w:p>
    <w:p>
      <w:pPr>
        <w:numPr>
          <w:ilvl w:val="0"/>
          <w:numId w:val="1012"/>
        </w:numPr>
        <w:pStyle w:val="Compact"/>
      </w:pPr>
      <w:r>
        <w:rPr>
          <w:bCs/>
          <w:b/>
        </w:rPr>
        <w:t xml:space="preserve">Non-Recycled Percentage:</w:t>
      </w:r>
      <w:r>
        <w:t xml:space="preserve"> </w:t>
      </w:r>
      <w:r>
        <w:t xml:space="preserve">(100 - 70) = 30 %</w:t>
      </w:r>
    </w:p>
    <w:p>
      <w:pPr>
        <w:numPr>
          <w:ilvl w:val="0"/>
          <w:numId w:val="1012"/>
        </w:numPr>
        <w:pStyle w:val="Compact"/>
      </w:pPr>
      <w:r>
        <w:rPr>
          <w:bCs/>
          <w:b/>
        </w:rPr>
        <w:t xml:space="preserve">Assumed EoL Scenario for Non-Recycled:</w:t>
      </w:r>
      <w:r>
        <w:t xml:space="preserve"> </w:t>
      </w:r>
      <w:r>
        <w:t xml:space="preserve">50% Landfill, 50% Incineration.</w:t>
      </w:r>
    </w:p>
    <w:p>
      <w:pPr>
        <w:numPr>
          <w:ilvl w:val="0"/>
          <w:numId w:val="1012"/>
        </w:numPr>
        <w:pStyle w:val="Compact"/>
      </w:pPr>
      <w:r>
        <w:rPr>
          <w:bCs/>
          <w:b/>
        </w:rPr>
        <w:t xml:space="preserve">Landfill Emission Factor (Plastics):</w:t>
      </w:r>
      <w:r>
        <w:t xml:space="preserve"> </w:t>
      </w:r>
      <w:r>
        <w:t xml:space="preserve">0.253 kg CO2e/kg</w:t>
      </w:r>
    </w:p>
    <w:p>
      <w:pPr>
        <w:numPr>
          <w:ilvl w:val="0"/>
          <w:numId w:val="1012"/>
        </w:numPr>
        <w:pStyle w:val="Compact"/>
      </w:pPr>
      <w:r>
        <w:rPr>
          <w:bCs/>
          <w:b/>
        </w:rPr>
        <w:t xml:space="preserve">Incineration Emission Factor (Plastics):</w:t>
      </w:r>
      <w:r>
        <w:t xml:space="preserve"> </w:t>
      </w:r>
      <w:r>
        <w:t xml:space="preserve">2.7625 kg CO2e/kg</w:t>
      </w:r>
    </w:p>
    <w:p>
      <w:pPr>
        <w:numPr>
          <w:ilvl w:val="0"/>
          <w:numId w:val="1012"/>
        </w:numPr>
        <w:pStyle w:val="Compact"/>
      </w:pPr>
      <w:r>
        <w:rPr>
          <w:bCs/>
          <w:b/>
        </w:rPr>
        <w:t xml:space="preserve">Non-Recycled Material Weight:</w:t>
      </w:r>
      <w:r>
        <w:t xml:space="preserve"> </w:t>
      </w:r>
      <w:r>
        <w:t xml:space="preserve">2.5 kg * 0.30 = 0.75 kg</w:t>
      </w:r>
    </w:p>
    <w:p>
      <w:pPr>
        <w:numPr>
          <w:ilvl w:val="0"/>
          <w:numId w:val="1012"/>
        </w:numPr>
        <w:pStyle w:val="Compact"/>
      </w:pPr>
      <w:r>
        <w:rPr>
          <w:bCs/>
          <w:b/>
        </w:rPr>
        <w:t xml:space="preserve">Emissions from Landfill:</w:t>
      </w:r>
      <w:r>
        <w:t xml:space="preserve"> </w:t>
      </w:r>
      <w:r>
        <w:t xml:space="preserve">(0.75 kg * 0.5) * 0.253 kg CO2e/kg = 0.095 kg CO2e</w:t>
      </w:r>
    </w:p>
    <w:p>
      <w:pPr>
        <w:numPr>
          <w:ilvl w:val="0"/>
          <w:numId w:val="1012"/>
        </w:numPr>
        <w:pStyle w:val="Compact"/>
      </w:pPr>
      <w:r>
        <w:rPr>
          <w:bCs/>
          <w:b/>
        </w:rPr>
        <w:t xml:space="preserve">Emissions from Incineration:</w:t>
      </w:r>
      <w:r>
        <w:t xml:space="preserve"> </w:t>
      </w:r>
      <w:r>
        <w:t xml:space="preserve">(0.75 kg * 0.5) * 2.7625 kg CO2e/kg = 1.036 kg CO2e</w:t>
      </w:r>
    </w:p>
    <w:bookmarkEnd w:id="36"/>
    <w:bookmarkStart w:id="37" w:name="avoided-emissions-from-recycling"/>
    <w:p>
      <w:pPr>
        <w:pStyle w:val="Heading4"/>
      </w:pPr>
      <w:r>
        <w:t xml:space="preserve">2.5.2. Avoided Emissions from Recycling</w:t>
      </w:r>
    </w:p>
    <w:p>
      <w:pPr>
        <w:numPr>
          <w:ilvl w:val="0"/>
          <w:numId w:val="1013"/>
        </w:numPr>
        <w:pStyle w:val="Compact"/>
      </w:pPr>
      <w:r>
        <w:rPr>
          <w:bCs/>
          <w:b/>
        </w:rPr>
        <w:t xml:space="preserve">Recycled Portion:</w:t>
      </w:r>
      <w:r>
        <w:t xml:space="preserve"> </w:t>
      </w:r>
      <w:r>
        <w:t xml:space="preserve">70 %</w:t>
      </w:r>
    </w:p>
    <w:p>
      <w:pPr>
        <w:numPr>
          <w:ilvl w:val="0"/>
          <w:numId w:val="1013"/>
        </w:numPr>
        <w:pStyle w:val="Compact"/>
      </w:pPr>
      <w:r>
        <w:rPr>
          <w:bCs/>
          <w:b/>
        </w:rPr>
        <w:t xml:space="preserve">Recycled Material Weight:</w:t>
      </w:r>
      <w:r>
        <w:t xml:space="preserve"> </w:t>
      </w:r>
      <w:r>
        <w:t xml:space="preserve">2.5 kg * 0.70 = 1.75 kg</w:t>
      </w:r>
    </w:p>
    <w:p>
      <w:pPr>
        <w:numPr>
          <w:ilvl w:val="0"/>
          <w:numId w:val="1013"/>
        </w:numPr>
        <w:pStyle w:val="Compact"/>
      </w:pPr>
      <w:r>
        <w:rPr>
          <w:bCs/>
          <w:b/>
        </w:rPr>
        <w:t xml:space="preserve">Avoided Emissions Factor (Plastics Recycling, displacing virgin material):</w:t>
      </w:r>
      <w:r>
        <w:t xml:space="preserve"> </w:t>
      </w:r>
      <w:r>
        <w:t xml:space="preserve">-2.0 kg CO2e/kg (i.e., avoids 2.0 kg CO2e/kg of virgin plastic production)</w:t>
      </w:r>
    </w:p>
    <w:p>
      <w:pPr>
        <w:numPr>
          <w:ilvl w:val="0"/>
          <w:numId w:val="1013"/>
        </w:numPr>
        <w:pStyle w:val="Compact"/>
      </w:pPr>
      <w:r>
        <w:rPr>
          <w:bCs/>
          <w:b/>
        </w:rPr>
        <w:t xml:space="preserve">Avoided Emissions from Recycling:</w:t>
      </w:r>
      <w:r>
        <w:t xml:space="preserve"> </w:t>
      </w:r>
      <w:r>
        <w:t xml:space="preserve">1.75 kg * (-2.0 kg CO2e/kg) = -3.500 kg CO2e</w:t>
      </w:r>
    </w:p>
    <w:p>
      <w:pPr>
        <w:numPr>
          <w:ilvl w:val="0"/>
          <w:numId w:val="1013"/>
        </w:numPr>
        <w:pStyle w:val="Compact"/>
      </w:pPr>
      <w:r>
        <w:rPr>
          <w:bCs/>
          <w:b/>
        </w:rPr>
        <w:t xml:space="preserve">Net EoL Emissions:</w:t>
      </w:r>
      <w:r>
        <w:t xml:space="preserve"> </w:t>
      </w:r>
      <w:r>
        <w:t xml:space="preserve">0.095 + 1.036 - 3.500 = -2.369 kg CO2e</w:t>
      </w:r>
    </w:p>
    <w:p>
      <w:pPr>
        <w:pStyle w:val="FirstParagraph"/>
      </w:pPr>
      <w:r>
        <w:rPr>
          <w:iCs/>
          <w:i/>
        </w:rPr>
        <w:t xml:space="preserve">Note: The impact of "Circular/Take-back Programs: vghjltdvuy" is reflected in the recyclability percentage, assuming these programs facilitate reaching the stated \'wqhvldxjee\'.</w:t>
      </w:r>
    </w:p>
    <w:p>
      <w:r>
        <w:pict>
          <v:rect style="width:0;height:1.5pt" o:hralign="center" o:hrstd="t" o:hr="t"/>
        </w:pict>
      </w:r>
    </w:p>
    <w:bookmarkEnd w:id="37"/>
    <w:bookmarkEnd w:id="38"/>
    <w:bookmarkEnd w:id="39"/>
    <w:bookmarkStart w:id="49" w:name="X2c62247db19834934c44c209ad423fe06ba5c64"/>
    <w:p>
      <w:pPr>
        <w:pStyle w:val="Heading2"/>
      </w:pPr>
      <w:r>
        <w:t xml:space="preserve">3. Calculation of Emissions (Activity * Emission Factor = CO2e)</w:t>
      </w:r>
    </w:p>
    <w:p>
      <w:pPr>
        <w:pStyle w:val="FirstParagraph"/>
      </w:pPr>
      <w:r>
        <w:t xml:space="preserve">This section compiles the calculated emissions for each scope and lifecycle stage using the specific parameter values and assumed emission factors outlined in Section 2.</w:t>
      </w:r>
    </w:p>
    <w:bookmarkStart w:id="40" w:name="scope-1-emissions-direct-emissions"/>
    <w:p>
      <w:pPr>
        <w:pStyle w:val="Heading3"/>
      </w:pPr>
      <w:r>
        <w:t xml:space="preserve">3.1. Scope 1 Emissions (Direct Emissions)</w:t>
      </w:r>
    </w:p>
    <w:p>
      <w:pPr>
        <w:pStyle w:val="FirstParagraph"/>
      </w:pPr>
      <w:r>
        <w:t xml:space="preserve">Based on the provided parameters, direct fuel combustion emissions from owned or controlled sources by jfllfyises are assumed to be negligible for the manufacturing of hfwqgxmogv. If on-site generation or other direct processes were significant, they would be quantified here.</w:t>
      </w:r>
    </w:p>
    <w:p>
      <w:pPr>
        <w:numPr>
          <w:ilvl w:val="0"/>
          <w:numId w:val="1014"/>
        </w:numPr>
        <w:pStyle w:val="Compact"/>
      </w:pPr>
      <w:r>
        <w:rPr>
          <w:bCs/>
          <w:b/>
        </w:rPr>
        <w:t xml:space="preserve">Total Scope 1 Emissions:</w:t>
      </w:r>
      <w:r>
        <w:t xml:space="preserve"> </w:t>
      </w:r>
      <w:r>
        <w:t xml:space="preserve">0.00 kg CO2e</w:t>
      </w:r>
    </w:p>
    <w:bookmarkEnd w:id="40"/>
    <w:bookmarkStart w:id="41" w:name="X1bd5ed5ba51603fe7fc5fd46de6dc3081dfffbb"/>
    <w:p>
      <w:pPr>
        <w:pStyle w:val="Heading3"/>
      </w:pPr>
      <w:r>
        <w:t xml:space="preserve">3.2. Scope 2 Emissions (Indirect Emissions from Purchased Energy)</w:t>
      </w:r>
    </w:p>
    <w:p>
      <w:pPr>
        <w:pStyle w:val="FirstParagraph"/>
      </w:pPr>
      <w:r>
        <w:t xml:space="preserve">These emissions arise from the generation of purchased electricity for the manufacturing process in China.</w:t>
      </w:r>
    </w:p>
    <w:p>
      <w:pPr>
        <w:numPr>
          <w:ilvl w:val="0"/>
          <w:numId w:val="1015"/>
        </w:numPr>
        <w:pStyle w:val="Compact"/>
      </w:pPr>
      <w:r>
        <w:rPr>
          <w:bCs/>
          <w:b/>
        </w:rPr>
        <w:t xml:space="preserve">Calculated Scope 2 Emissions:</w:t>
      </w:r>
      <w:r>
        <w:t xml:space="preserve"> </w:t>
      </w:r>
      <w:r>
        <w:t xml:space="preserve">5.84 kg CO2e</w:t>
      </w:r>
    </w:p>
    <w:bookmarkEnd w:id="41"/>
    <w:bookmarkStart w:id="47" w:name="Xc0e8d524e8c55442a875a6363c71b09ba079b79"/>
    <w:p>
      <w:pPr>
        <w:pStyle w:val="Heading3"/>
      </w:pPr>
      <w:r>
        <w:t xml:space="preserve">3.3. Scope 3 Emissions (Other Indirect Emissions)</w:t>
      </w:r>
    </w:p>
    <w:p>
      <w:pPr>
        <w:pStyle w:val="FirstParagraph"/>
      </w:pPr>
      <w:r>
        <w:t xml:space="preserve">Scope 3 emissions constitute the vast majority of the product\'s carbon footprint, covering the entire value chain.</w:t>
      </w:r>
    </w:p>
    <w:bookmarkStart w:id="42" w:name="Xab9729a0caae076ca89f2f71668734f92723cf2"/>
    <w:p>
      <w:pPr>
        <w:pStyle w:val="Heading4"/>
      </w:pPr>
      <w:r>
        <w:t xml:space="preserve">3.3.1. Category 1: Purchased Goods and Services (Materials)</w:t>
      </w:r>
    </w:p>
    <w:p>
      <w:pPr>
        <w:numPr>
          <w:ilvl w:val="0"/>
          <w:numId w:val="1016"/>
        </w:numPr>
        <w:pStyle w:val="Compact"/>
      </w:pPr>
      <w:r>
        <w:rPr>
          <w:bCs/>
          <w:b/>
        </w:rPr>
        <w:t xml:space="preserve">Total Material Emissions:</w:t>
      </w:r>
      <w:r>
        <w:t xml:space="preserve"> </w:t>
      </w:r>
      <w:r>
        <w:t xml:space="preserve">8.50 kg CO2e</w:t>
      </w:r>
    </w:p>
    <w:bookmarkEnd w:id="42"/>
    <w:bookmarkStart w:id="43" w:name="X6669a43143349c25ec93e775eebde43de53a73c"/>
    <w:p>
      <w:pPr>
        <w:pStyle w:val="Heading4"/>
      </w:pPr>
      <w:r>
        <w:t xml:space="preserve">3.3.2. Category 4: Upstream Transportation and Distribution</w:t>
      </w:r>
    </w:p>
    <w:p>
      <w:pPr>
        <w:numPr>
          <w:ilvl w:val="0"/>
          <w:numId w:val="1017"/>
        </w:numPr>
        <w:pStyle w:val="Compact"/>
      </w:pPr>
      <w:r>
        <w:rPr>
          <w:bCs/>
          <w:b/>
        </w:rPr>
        <w:t xml:space="preserve">Total Upstream Transportation Emissions:</w:t>
      </w:r>
      <w:r>
        <w:t xml:space="preserve"> </w:t>
      </w:r>
      <w:r>
        <w:t xml:space="preserve">0.27 kg CO2e</w:t>
      </w:r>
    </w:p>
    <w:bookmarkEnd w:id="43"/>
    <w:bookmarkStart w:id="44" w:name="X25a0837e2ca53a982bfb6f58a50970139f4f25f"/>
    <w:p>
      <w:pPr>
        <w:pStyle w:val="Heading4"/>
      </w:pPr>
      <w:r>
        <w:t xml:space="preserve">3.3.3. Category 9: Downstream Transportation and Distribution</w:t>
      </w:r>
    </w:p>
    <w:p>
      <w:pPr>
        <w:numPr>
          <w:ilvl w:val="0"/>
          <w:numId w:val="1018"/>
        </w:numPr>
        <w:pStyle w:val="Compact"/>
      </w:pPr>
      <w:r>
        <w:rPr>
          <w:bCs/>
          <w:b/>
        </w:rPr>
        <w:t xml:space="preserve">Total Downstream Transportation Emissions:</w:t>
      </w:r>
      <w:r>
        <w:t xml:space="preserve"> </w:t>
      </w:r>
      <w:r>
        <w:t xml:space="preserve">0.27 kg CO2e</w:t>
      </w:r>
    </w:p>
    <w:bookmarkEnd w:id="44"/>
    <w:bookmarkStart w:id="45" w:name="category-11-use-of-sold-products"/>
    <w:p>
      <w:pPr>
        <w:pStyle w:val="Heading4"/>
      </w:pPr>
      <w:r>
        <w:t xml:space="preserve">3.3.4. Category 11: Use of Sold Products</w:t>
      </w:r>
    </w:p>
    <w:p>
      <w:pPr>
        <w:numPr>
          <w:ilvl w:val="0"/>
          <w:numId w:val="1019"/>
        </w:numPr>
        <w:pStyle w:val="Compact"/>
      </w:pPr>
      <w:r>
        <w:rPr>
          <w:bCs/>
          <w:b/>
        </w:rPr>
        <w:t xml:space="preserve">Calculated Use Phase Emissions:</w:t>
      </w:r>
      <w:r>
        <w:t xml:space="preserve"> </w:t>
      </w:r>
      <w:r>
        <w:t xml:space="preserve">13.58 kg CO2e</w:t>
      </w:r>
    </w:p>
    <w:bookmarkEnd w:id="45"/>
    <w:bookmarkStart w:id="46" w:name="X9f66eef2700632e081dfe139021cb724ffcd2c5"/>
    <w:p>
      <w:pPr>
        <w:pStyle w:val="Heading4"/>
      </w:pPr>
      <w:r>
        <w:t xml:space="preserve">3.3.5. Category 12: End-of-Life Treatment of Sold Products</w:t>
      </w:r>
    </w:p>
    <w:p>
      <w:pPr>
        <w:numPr>
          <w:ilvl w:val="0"/>
          <w:numId w:val="1020"/>
        </w:numPr>
        <w:pStyle w:val="Compact"/>
      </w:pPr>
      <w:r>
        <w:rPr>
          <w:bCs/>
          <w:b/>
        </w:rPr>
        <w:t xml:space="preserve">Net EoL Emissions:</w:t>
      </w:r>
      <w:r>
        <w:t xml:space="preserve"> </w:t>
      </w:r>
      <w:r>
        <w:t xml:space="preserve">-2.37 kg CO2e</w:t>
      </w:r>
    </w:p>
    <w:bookmarkEnd w:id="46"/>
    <w:bookmarkEnd w:id="47"/>
    <w:bookmarkStart w:id="48" w:name="Xaa3a4e80fa92c57d60d7ad34a279d3c2dc9392f"/>
    <w:p>
      <w:pPr>
        <w:pStyle w:val="Heading3"/>
      </w:pPr>
      <w:r>
        <w:t xml:space="preserve">3.4. Total Product Carbon Footprint (kg CO2e per Functional Unit)</w:t>
      </w:r>
    </w:p>
    <w:p>
      <w:pPr>
        <w:pStyle w:val="FirstParagraph"/>
      </w:pPr>
      <w:r>
        <w:rPr>
          <w:bCs/>
          <w:b/>
        </w:rPr>
        <w:t xml:space="preserve">Total PCF = Scope 1 + Scope 2 + Sum of Scope 3 Categories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Calculated Emissions (kg CO2e/unit)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Manufacturing (On-site fuel combustion)</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Manufacturing (China Grid)</w:t>
            </w:r>
          </w:p>
        </w:tc>
        <w:tc>
          <w:tcPr/>
          <w:p>
            <w:pPr>
              <w:pStyle w:val="Compact"/>
              <w:jc w:val="left"/>
            </w:pPr>
            <w:r>
              <w:t xml:space="preserve">5.84</w:t>
            </w:r>
          </w:p>
        </w:tc>
      </w:tr>
      <w:tr>
        <w:tc>
          <w:tcPr/>
          <w:p>
            <w:pPr>
              <w:pStyle w:val="Compact"/>
              <w:jc w:val="left"/>
            </w:pPr>
            <w:r>
              <w:t xml:space="preserve">Scope 3</w:t>
            </w:r>
          </w:p>
        </w:tc>
        <w:tc>
          <w:tcPr/>
          <w:p>
            <w:pPr>
              <w:pStyle w:val="Compact"/>
              <w:jc w:val="left"/>
            </w:pPr>
            <w:r>
              <w:t xml:space="preserve">Category 1</w:t>
            </w:r>
          </w:p>
        </w:tc>
        <w:tc>
          <w:tcPr/>
          <w:p>
            <w:pPr>
              <w:pStyle w:val="Compact"/>
              <w:jc w:val="left"/>
            </w:pPr>
            <w:r>
              <w:t xml:space="preserve">Purchased Goods &amp; Services (BOM)</w:t>
            </w:r>
          </w:p>
        </w:tc>
        <w:tc>
          <w:tcPr/>
          <w:p>
            <w:pPr>
              <w:pStyle w:val="Compact"/>
              <w:jc w:val="left"/>
            </w:pPr>
            <w:r>
              <w:t xml:space="preserve">8.50</w:t>
            </w:r>
          </w:p>
        </w:tc>
      </w:tr>
      <w:tr>
        <w:tc>
          <w:tcPr/>
          <w:p>
            <w:pPr>
              <w:pStyle w:val="Compact"/>
              <w:jc w:val="left"/>
            </w:pPr>
            <w:r>
              <w:t xml:space="preserve">Scope 3</w:t>
            </w:r>
          </w:p>
        </w:tc>
        <w:tc>
          <w:tcPr/>
          <w:p>
            <w:pPr>
              <w:pStyle w:val="Compact"/>
              <w:jc w:val="left"/>
            </w:pPr>
            <w:r>
              <w:t xml:space="preserve">Category 4</w:t>
            </w:r>
          </w:p>
        </w:tc>
        <w:tc>
          <w:tcPr/>
          <w:p>
            <w:pPr>
              <w:pStyle w:val="Compact"/>
              <w:jc w:val="left"/>
            </w:pPr>
            <w:r>
              <w:t xml:space="preserve">Upstream Transportation &amp; Distribution</w:t>
            </w:r>
          </w:p>
        </w:tc>
        <w:tc>
          <w:tcPr/>
          <w:p>
            <w:pPr>
              <w:pStyle w:val="Compact"/>
              <w:jc w:val="left"/>
            </w:pPr>
            <w:r>
              <w:t xml:space="preserve">0.27</w:t>
            </w:r>
          </w:p>
        </w:tc>
      </w:tr>
      <w:tr>
        <w:tc>
          <w:tcPr/>
          <w:p>
            <w:pPr>
              <w:pStyle w:val="Compact"/>
              <w:jc w:val="left"/>
            </w:pPr>
            <w:r>
              <w:t xml:space="preserve">Scope 3</w:t>
            </w:r>
          </w:p>
        </w:tc>
        <w:tc>
          <w:tcPr/>
          <w:p>
            <w:pPr>
              <w:pStyle w:val="Compact"/>
              <w:jc w:val="left"/>
            </w:pPr>
            <w:r>
              <w:t xml:space="preserve">Category 9</w:t>
            </w:r>
          </w:p>
        </w:tc>
        <w:tc>
          <w:tcPr/>
          <w:p>
            <w:pPr>
              <w:pStyle w:val="Compact"/>
              <w:jc w:val="left"/>
            </w:pPr>
            <w:r>
              <w:t xml:space="preserve">Downstream Transportation &amp; Distribution</w:t>
            </w:r>
          </w:p>
        </w:tc>
        <w:tc>
          <w:tcPr/>
          <w:p>
            <w:pPr>
              <w:pStyle w:val="Compact"/>
              <w:jc w:val="left"/>
            </w:pPr>
            <w:r>
              <w:t xml:space="preserve">0.27</w:t>
            </w:r>
          </w:p>
        </w:tc>
      </w:tr>
      <w:tr>
        <w:tc>
          <w:tcPr/>
          <w:p>
            <w:pPr>
              <w:pStyle w:val="Compact"/>
              <w:jc w:val="left"/>
            </w:pPr>
            <w:r>
              <w:t xml:space="preserve">Scope 3</w:t>
            </w:r>
          </w:p>
        </w:tc>
        <w:tc>
          <w:tcPr/>
          <w:p>
            <w:pPr>
              <w:pStyle w:val="Compact"/>
              <w:jc w:val="left"/>
            </w:pPr>
            <w:r>
              <w:t xml:space="preserve">Category 11</w:t>
            </w:r>
          </w:p>
        </w:tc>
        <w:tc>
          <w:tcPr/>
          <w:p>
            <w:pPr>
              <w:pStyle w:val="Compact"/>
              <w:jc w:val="left"/>
            </w:pPr>
            <w:r>
              <w:t xml:space="preserve">Use of Sold Products</w:t>
            </w:r>
          </w:p>
        </w:tc>
        <w:tc>
          <w:tcPr/>
          <w:p>
            <w:pPr>
              <w:pStyle w:val="Compact"/>
              <w:jc w:val="left"/>
            </w:pPr>
            <w:r>
              <w:t xml:space="preserve">13.58</w:t>
            </w:r>
          </w:p>
        </w:tc>
      </w:tr>
      <w:tr>
        <w:tc>
          <w:tcPr/>
          <w:p>
            <w:pPr>
              <w:pStyle w:val="Compact"/>
              <w:jc w:val="left"/>
            </w:pPr>
            <w:r>
              <w:t xml:space="preserve">Scope 3</w:t>
            </w:r>
          </w:p>
        </w:tc>
        <w:tc>
          <w:tcPr/>
          <w:p>
            <w:pPr>
              <w:pStyle w:val="Compact"/>
              <w:jc w:val="left"/>
            </w:pPr>
            <w:r>
              <w:t xml:space="preserve">Category 12</w:t>
            </w:r>
          </w:p>
        </w:tc>
        <w:tc>
          <w:tcPr/>
          <w:p>
            <w:pPr>
              <w:pStyle w:val="Compact"/>
              <w:jc w:val="left"/>
            </w:pPr>
            <w:r>
              <w:t xml:space="preserve">End-of-Life Treatment of Sold Products</w:t>
            </w:r>
          </w:p>
        </w:tc>
        <w:tc>
          <w:tcPr/>
          <w:p>
            <w:pPr>
              <w:pStyle w:val="Compact"/>
              <w:jc w:val="left"/>
            </w:pPr>
            <w:r>
              <w:t xml:space="preserve">-2.37</w:t>
            </w:r>
          </w:p>
        </w:tc>
      </w:tr>
      <w:tr>
        <w:tc>
          <w:tcPr>
            <w:gridSpan w:val="3"/>
          </w:tcPr>
          <w:p>
            <w:pPr>
              <w:pStyle w:val="Compact"/>
              <w:jc w:val="right"/>
            </w:pPr>
            <w:r>
              <w:t xml:space="preserve">TOTAL PRODUCT CARBON FOOTPRINT</w:t>
            </w:r>
          </w:p>
        </w:tc>
        <w:tc>
          <w:tcPr/>
          <w:p>
            <w:pPr>
              <w:pStyle w:val="Compact"/>
              <w:jc w:val="left"/>
            </w:pPr>
            <w:r>
              <w:t xml:space="preserve">26.17</w:t>
            </w:r>
          </w:p>
        </w:tc>
      </w:tr>
    </w:tbl>
    <w:p>
      <w:r>
        <w:pict>
          <v:rect style="width:0;height:1.5pt" o:hralign="center" o:hrstd="t" o:hr="t"/>
        </w:pict>
      </w:r>
    </w:p>
    <w:bookmarkEnd w:id="48"/>
    <w:bookmarkEnd w:id="49"/>
    <w:bookmarkStart w:id="54" w:name="review-report"/>
    <w:p>
      <w:pPr>
        <w:pStyle w:val="Heading2"/>
      </w:pPr>
      <w:r>
        <w:t xml:space="preserve">4. Review &amp; Report</w:t>
      </w:r>
    </w:p>
    <w:bookmarkStart w:id="50" w:name="emission-hotspots"/>
    <w:p>
      <w:pPr>
        <w:pStyle w:val="Heading3"/>
      </w:pPr>
      <w:r>
        <w:t xml:space="preserve">4.1. Emission Hotspots</w:t>
      </w:r>
    </w:p>
    <w:p>
      <w:pPr>
        <w:pStyle w:val="FirstParagraph"/>
      </w:pPr>
      <w:r>
        <w:t xml:space="preserve">Based on typical PCF analyses and the parameters provided, the following are likely emission hotspots for hfwqgxmogv:</w:t>
      </w:r>
    </w:p>
    <w:p>
      <w:pPr>
        <w:numPr>
          <w:ilvl w:val="0"/>
          <w:numId w:val="1021"/>
        </w:numPr>
        <w:pStyle w:val="Compact"/>
      </w:pPr>
      <w:r>
        <w:rPr>
          <w:bCs/>
          <w:b/>
        </w:rPr>
        <w:t xml:space="preserve">Use of Sold Products (Scope 3, Category 11):</w:t>
      </w:r>
      <w:r>
        <w:t xml:space="preserve"> </w:t>
      </w:r>
      <w:r>
        <w:t xml:space="preserve">With an estimated 13.58 kg CO2e, the energy consumption during the product\'s use phase is the largest contributor to the overall footprint. This highlights the importance of energy-efficient design and the carbon intensity of the electricity grid in the region of use.</w:t>
      </w:r>
    </w:p>
    <w:p>
      <w:pPr>
        <w:numPr>
          <w:ilvl w:val="0"/>
          <w:numId w:val="1021"/>
        </w:numPr>
        <w:pStyle w:val="Compact"/>
      </w:pPr>
      <w:r>
        <w:rPr>
          <w:bCs/>
          <w:b/>
        </w:rPr>
        <w:t xml:space="preserve">Purchased Goods and Services (Scope 3, Category 1):</w:t>
      </w:r>
      <w:r>
        <w:t xml:space="preserve"> </w:t>
      </w:r>
      <w:r>
        <w:t xml:space="preserve">The raw materials specified in the Detailed BOM (dwmodkxs) contribute significantly with 8.50 kg CO2e, indicating that material selection and supplier-specific data are crucial areas for reduction.</w:t>
      </w:r>
    </w:p>
    <w:p>
      <w:pPr>
        <w:numPr>
          <w:ilvl w:val="0"/>
          <w:numId w:val="1021"/>
        </w:numPr>
        <w:pStyle w:val="Compact"/>
      </w:pPr>
      <w:r>
        <w:rPr>
          <w:bCs/>
          <w:b/>
        </w:rPr>
        <w:t xml:space="preserve">Manufacturing (Scope 2):</w:t>
      </w:r>
      <w:r>
        <w:t xml:space="preserve"> </w:t>
      </w:r>
      <w:r>
        <w:t xml:space="preserve">The energy intensity of the production process and the reliance on the Chinese grid mix, even with 30% renewable energy usage, result in 5.84 kg CO2e. Increasing renewable energy penetration in manufacturing operations offers a direct pathway for reduction.</w:t>
      </w:r>
    </w:p>
    <w:p>
      <w:pPr>
        <w:numPr>
          <w:ilvl w:val="0"/>
          <w:numId w:val="1021"/>
        </w:numPr>
        <w:pStyle w:val="Compact"/>
      </w:pPr>
      <w:r>
        <w:rPr>
          <w:bCs/>
          <w:b/>
        </w:rPr>
        <w:t xml:space="preserve">End-of-Life Treatment (Scope 3, Category 12):</w:t>
      </w:r>
      <w:r>
        <w:t xml:space="preserve"> </w:t>
      </w:r>
      <w:r>
        <w:t xml:space="preserve">A net negative contribution of -2.37 kg CO2e for End-of-Life suggests that the high recyclability percentage (70%) and associated avoided emissions from displacing virgin materials are impactful. However, continued efforts to increase recyclability and minimize disposal are essential to maintain or improve this benefit.</w:t>
      </w:r>
    </w:p>
    <w:p>
      <w:pPr>
        <w:numPr>
          <w:ilvl w:val="0"/>
          <w:numId w:val="1021"/>
        </w:numPr>
        <w:pStyle w:val="Compact"/>
      </w:pPr>
      <w:r>
        <w:rPr>
          <w:bCs/>
          <w:b/>
        </w:rPr>
        <w:t xml:space="preserve">Transportation &amp; Distribution (Scope 3, Categories 4 &amp; 9):</w:t>
      </w:r>
      <w:r>
        <w:t xml:space="preserve"> </w:t>
      </w:r>
      <w:r>
        <w:t xml:space="preserve">While individual transport legs are relatively smaller, their combined impact (0.27 kg CO2e upstream and 0.27 kg CO2e downstream) contributes to the overall footprint.</w:t>
      </w:r>
    </w:p>
    <w:bookmarkEnd w:id="50"/>
    <w:bookmarkStart w:id="51" w:name="data-reliability-and-limitations"/>
    <w:p>
      <w:pPr>
        <w:pStyle w:val="Heading3"/>
      </w:pPr>
      <w:r>
        <w:t xml:space="preserve">4.2. Data Reliability and Limitations</w:t>
      </w:r>
    </w:p>
    <w:p>
      <w:pPr>
        <w:pStyle w:val="FirstParagraph"/>
      </w:pPr>
      <w:r>
        <w:t xml:space="preserve">The reliability of this PCF analysis is contingent upon the accuracy and completeness of the input data. Key considerations include:</w:t>
      </w:r>
    </w:p>
    <w:p>
      <w:pPr>
        <w:numPr>
          <w:ilvl w:val="0"/>
          <w:numId w:val="1022"/>
        </w:numPr>
        <w:pStyle w:val="Compact"/>
      </w:pPr>
      <w:r>
        <w:rPr>
          <w:bCs/>
          <w:b/>
        </w:rPr>
        <w:t xml:space="preserve">Parameter Interpretation and Assumptions:</w:t>
      </w:r>
      <w:r>
        <w:t xml:space="preserve"> </w:t>
      </w:r>
      <w:r>
        <w:t xml:space="preserve">Values for \'Transport Distance\', \'Transport Mode\', \'Last-Mile Delivery Channel\', \'Energy Consumption in Use\', \'Product Lifespan\', \'Recyclability Percentage\', and \'Circular Programs\' were placeholders. Hypothetical numerical values were assumed for calculations (e.g., product weight, specific transport distances, EoL material breakdown). These assumptions, while reasonable for illustration, would require validation with primary operational data for a definitive assessment.</w:t>
      </w:r>
    </w:p>
    <w:p>
      <w:pPr>
        <w:numPr>
          <w:ilvl w:val="0"/>
          <w:numId w:val="1022"/>
        </w:numPr>
        <w:pStyle w:val="Compact"/>
      </w:pPr>
      <w:r>
        <w:rPr>
          <w:bCs/>
          <w:b/>
        </w:rPr>
        <w:t xml:space="preserve">Emission Factors:</w:t>
      </w:r>
      <w:r>
        <w:t xml:space="preserve"> </w:t>
      </w:r>
      <w:r>
        <w:t xml:space="preserve">While industry-standard emission factors (e.g., from Climatiq, DEFRA, PwC for electricity grids, freight) have been used, country-specific and product-specific primary data would enhance accuracy.</w:t>
      </w:r>
    </w:p>
    <w:p>
      <w:pPr>
        <w:numPr>
          <w:ilvl w:val="0"/>
          <w:numId w:val="1022"/>
        </w:numPr>
        <w:pStyle w:val="Compact"/>
      </w:pPr>
      <w:r>
        <w:rPr>
          <w:bCs/>
          <w:b/>
        </w:rPr>
        <w:t xml:space="preserve">System Boundary Interpretation:</w:t>
      </w:r>
      <w:r>
        <w:t xml:space="preserve"> </w:t>
      </w:r>
      <w:r>
        <w:t xml:space="preserve">The "factory_gate" system boundary for primary production was extended to a "cradle-to-grave" approach for comprehensive Scope 3 reporting, which is a common practice for PCFs to cover the full value chain.</w:t>
      </w:r>
    </w:p>
    <w:p>
      <w:pPr>
        <w:numPr>
          <w:ilvl w:val="0"/>
          <w:numId w:val="1022"/>
        </w:numPr>
        <w:pStyle w:val="Compact"/>
      </w:pPr>
      <w:r>
        <w:rPr>
          <w:bCs/>
          <w:b/>
        </w:rPr>
        <w:t xml:space="preserve">2026 LSR Standard:</w:t>
      </w:r>
      <w:r>
        <w:t xml:space="preserve"> </w:t>
      </w:r>
      <w:r>
        <w:t xml:space="preserve">As the LSR Standard takes effect in 2027, the full implications and detailed data requirements for land-related emissions in the value chain are still evolving, with further guidance expected.</w:t>
      </w:r>
    </w:p>
    <w:bookmarkEnd w:id="51"/>
    <w:bookmarkStart w:id="53" w:name="recommendations-for-jfllfyises"/>
    <w:p>
      <w:pPr>
        <w:pStyle w:val="Heading3"/>
      </w:pPr>
      <w:r>
        <w:t xml:space="preserve">4.3. Recommendations for jfllfyises</w:t>
      </w:r>
    </w:p>
    <w:p>
      <w:pPr>
        <w:numPr>
          <w:ilvl w:val="0"/>
          <w:numId w:val="1023"/>
        </w:numPr>
        <w:pStyle w:val="Compact"/>
      </w:pPr>
      <w:r>
        <w:rPr>
          <w:bCs/>
          <w:b/>
        </w:rPr>
        <w:t xml:space="preserve">Data Refinement:</w:t>
      </w:r>
      <w:r>
        <w:t xml:space="preserve"> </w:t>
      </w:r>
      <w:r>
        <w:t xml:space="preserve">Collect more granular primary data for material composition, exact weights, energy consumption at specific production sites, and precise transport distances and modes for a more accurate PCF. This includes obtaining actual \'Total Carbon\' values for all BOM items (dwmodkxs) and detailed usage profiles for \'xmregogike\'.</w:t>
      </w:r>
    </w:p>
    <w:p>
      <w:pPr>
        <w:numPr>
          <w:ilvl w:val="0"/>
          <w:numId w:val="1023"/>
        </w:numPr>
        <w:pStyle w:val="Compact"/>
      </w:pPr>
      <w:r>
        <w:rPr>
          <w:bCs/>
          <w:b/>
        </w:rPr>
        <w:t xml:space="preserve">Supply Chain Engagement:</w:t>
      </w:r>
      <w:r>
        <w:t xml:space="preserve"> </w:t>
      </w:r>
      <w:r>
        <w:t xml:space="preserve">Work with suppliers to obtain product-specific or supplier-specific emission factors for purchased goods and services to reduce reliance on industry averages and to identify further reduction opportunities within Category 1.</w:t>
      </w:r>
    </w:p>
    <w:p>
      <w:pPr>
        <w:numPr>
          <w:ilvl w:val="0"/>
          <w:numId w:val="1023"/>
        </w:numPr>
        <w:pStyle w:val="Compact"/>
      </w:pPr>
      <w:r>
        <w:rPr>
          <w:bCs/>
          <w:b/>
        </w:rPr>
        <w:t xml:space="preserve">Energy Efficiency &amp; Renewables:</w:t>
      </w:r>
      <w:r>
        <w:t xml:space="preserve"> </w:t>
      </w:r>
      <w:r>
        <w:t xml:space="preserve">Invest in energy-efficient manufacturing processes and increase the share of renewable energy sources for production in China to reduce Scope 2 emissions. This could involve direct renewable energy procurement or participation in renewable energy certificate schemes.</w:t>
      </w:r>
    </w:p>
    <w:p>
      <w:pPr>
        <w:numPr>
          <w:ilvl w:val="0"/>
          <w:numId w:val="1023"/>
        </w:numPr>
        <w:pStyle w:val="Compact"/>
      </w:pPr>
      <w:r>
        <w:rPr>
          <w:bCs/>
          <w:b/>
        </w:rPr>
        <w:t xml:space="preserve">Circular Economy Strategies:</w:t>
      </w:r>
      <w:r>
        <w:t xml:space="preserve"> </w:t>
      </w:r>
      <w:r>
        <w:t xml:space="preserve">Strengthen circular design principles to improve product durability, repairability, and recyclability (increasing wqhvldxjee). Actively promote and expand take-back programs (vghjltdvuy) to maximize material recovery and minimize waste destined for landfill or incineration.</w:t>
      </w:r>
    </w:p>
    <w:p>
      <w:pPr>
        <w:numPr>
          <w:ilvl w:val="0"/>
          <w:numId w:val="1023"/>
        </w:numPr>
        <w:pStyle w:val="Compact"/>
      </w:pPr>
      <w:r>
        <w:rPr>
          <w:bCs/>
          <w:b/>
        </w:rPr>
        <w:t xml:space="preserve">Logistics Optimization:</w:t>
      </w:r>
      <w:r>
        <w:t xml:space="preserve"> </w:t>
      </w:r>
      <w:r>
        <w:t xml:space="preserve">Explore more carbon-efficient transport modes (e.g., rail where feasible), optimize logistics routes and load factors, and collaborate with logistics partners to reduce transport emissions (Categories 4 &amp; 9).</w:t>
      </w:r>
    </w:p>
    <w:p>
      <w:pPr>
        <w:numPr>
          <w:ilvl w:val="0"/>
          <w:numId w:val="1023"/>
        </w:numPr>
        <w:pStyle w:val="Compact"/>
      </w:pPr>
      <w:r>
        <w:rPr>
          <w:bCs/>
          <w:b/>
        </w:rPr>
        <w:t xml:space="preserve">Use Phase Impact:</w:t>
      </w:r>
      <w:r>
        <w:t xml:space="preserve"> </w:t>
      </w:r>
      <w:r>
        <w:t xml:space="preserve">Design products for maximum energy efficiency during their use phase to minimize Category 11 emissions, especially if the product is energy-intensive. Encourage sustainable user behavior and explore renewable energy solutions for product charging/operation where applicable.</w:t>
      </w:r>
    </w:p>
    <w:p>
      <w:r>
        <w:pict>
          <v:rect style="width:0;height:1.5pt" o:hralign="center" o:hrstd="t" o:hr="t"/>
        </w:pict>
      </w:r>
    </w:p>
    <w:p>
      <w:pPr>
        <w:pStyle w:val="FirstParagraph"/>
      </w:pPr>
      <w:r>
        <w:t xml:space="preserve">Confidential - Internal Use Only | Page</w:t>
      </w:r>
      <w:r>
        <w:t xml:space="preserve"> </w:t>
      </w:r>
      <w:bookmarkStart w:id="52" w:name="pageNumber"/>
      <w:bookmarkEnd w:id="52"/>
    </w:p>
    <w:bookmarkEnd w:id="53"/>
    <w:bookmarkEnd w:id="54"/>
    <w:bookmarkEnd w:id="5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hfwqgxmogv</dc:title>
  <dc:creator/>
  <dc:description>High-detail Product Carbon Footprint (PCF) analysis for hfwqgxmogv, adhering to GHG Protocol standards including the 2026 LSR update and 95% Scope 3 coverage.</dc:description>
  <dc:language>en</dc:language>
  <cp:keywords/>
  <dcterms:created xsi:type="dcterms:W3CDTF">2026-05-30T19:25:48Z</dcterms:created>
  <dcterms:modified xsi:type="dcterms:W3CDTF">2026-05-30T19:25:48Z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