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hffdxmnizr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hffdxmnizr</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kssevtppqq</w:t>
      </w:r>
    </w:p>
    <w:p>
      <w:pPr>
        <w:pStyle w:val="BodyText"/>
      </w:pPr>
      <w:r>
        <w:rPr>
          <w:bCs/>
          <w:b/>
        </w:rPr>
        <w:t xml:space="preserve">Senior Sustainability Consultant:</w:t>
      </w:r>
      <w:r>
        <w:t xml:space="preserve"> </w:t>
      </w:r>
      <w:r>
        <w:t xml:space="preserve">qqsmmwhoki</w:t>
      </w:r>
    </w:p>
    <w:p>
      <w:pPr>
        <w:pStyle w:val="BodyText"/>
      </w:pPr>
      <w:r>
        <w:t xml:space="preserve">This report is generated based on available data and industry standards, providing an estimate of the product\'s carbon footprint. Actual emissions may vary.</w:t>
      </w:r>
    </w:p>
    <w:bookmarkEnd w:id="20"/>
    <w:bookmarkStart w:id="46" w:name="Xdacf0382e93a5cb7dcefac986ff29756cc5f0ab"/>
    <w:p>
      <w:pPr>
        <w:pStyle w:val="Heading1"/>
      </w:pPr>
      <w:r>
        <w:t xml:space="preserve">Product Carbon Footprint Analysis: hffdxmnizr</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\'hffdxmnizr\', manufactured by kssevtppqq. As Senior Sustainability Consultant qqsmmwhoki, I have conducted this analysis following the GHG Protocol, incorporating the latest 2026 Land Sector and Removals (LSR) Standard and ensuring comprehensive Scope 3 coverage. The primary goal is to quantify the greenhouse gas (GHG) emissions associated with the product\'s lifecycle, identify key emission hotspots, and provide actionable insights for kssevtppqq to enhance its sustainability performance.</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was conducted in accordance with the GHG Protocol Product Standard, following a structured five-step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all relevant processes and stages throughout the product\'s lifecycle, from raw material extraction to end-of-life.</w:t>
      </w:r>
    </w:p>
    <w:p>
      <w:pPr>
        <w:numPr>
          <w:ilvl w:val="0"/>
          <w:numId w:val="1001"/>
        </w:numPr>
        <w:pStyle w:val="Compact"/>
      </w:pPr>
      <w:r>
        <w:rPr>
          <w:bCs/>
          <w:b/>
        </w:rPr>
        <w:t xml:space="preserve">Collect Data:</w:t>
      </w:r>
      <w:r>
        <w:t xml:space="preserve"> </w:t>
      </w:r>
      <w:r>
        <w:t xml:space="preserve">Gather primary data from company operations and secondary data from recognized databases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expressed in CO2 equivalent (CO2e).</w:t>
      </w:r>
    </w:p>
    <w:p>
      <w:pPr>
        <w:numPr>
          <w:ilvl w:val="0"/>
          <w:numId w:val="1001"/>
        </w:numPr>
        <w:pStyle w:val="Compact"/>
      </w:pPr>
      <w:r>
        <w:rPr>
          <w:bCs/>
          <w:b/>
        </w:rPr>
        <w:t xml:space="preserve">Review &amp; Report:</w:t>
      </w:r>
      <w:r>
        <w:t xml:space="preserve"> </w:t>
      </w:r>
      <w:r>
        <w:t xml:space="preserve">Analyze results to identify hotspots, assess data reliability, and present findings in a clear and transparent manner.</w:t>
      </w:r>
    </w:p>
    <w:p>
      <w:pPr>
        <w:pStyle w:val="FirstParagraph"/>
      </w:pPr>
      <w:r>
        <w:t xml:space="preserve">This analysis adheres strictly to the GHG Protocol, categorizing emissions into Scope 1 (direct emissions), Scope 2 (indirect emissions from purchased energy), and Scope 3 (all other indirect emissions in the value chain). Notably, the 2026 Land Sector and Removals (LSR) Standard has been applied for relevant land use and carbon removal considerations, and a stringent 95% coverage for Scope 3 reporting has been ensured, aligning with updated 2026 requirements.</w:t>
      </w:r>
    </w:p>
    <w:p>
      <w:r>
        <w:pict>
          <v:rect style="width:0;height:1.5pt" o:hralign="center" o:hrstd="t" o:hr="t"/>
        </w:pict>
      </w:r>
    </w:p>
    <w:bookmarkEnd w:id="22"/>
    <w:bookmarkStart w:id="23" w:name="scope-definition"/>
    <w:p>
      <w:pPr>
        <w:pStyle w:val="Heading2"/>
      </w:pPr>
      <w:r>
        <w:t xml:space="preserve">1. Scope Definition</w:t>
      </w:r>
    </w:p>
    <w:p>
      <w:pPr>
        <w:numPr>
          <w:ilvl w:val="0"/>
          <w:numId w:val="1002"/>
        </w:numPr>
        <w:pStyle w:val="Compact"/>
      </w:pPr>
      <w:r>
        <w:rPr>
          <w:bCs/>
          <w:b/>
        </w:rPr>
        <w:t xml:space="preserve">Functional Unit:</w:t>
      </w:r>
      <w:r>
        <w:t xml:space="preserve"> </w:t>
      </w:r>
      <w:r>
        <w:t xml:space="preserve">1.0 unit of hffdxmnizr</w:t>
      </w:r>
    </w:p>
    <w:p>
      <w:pPr>
        <w:numPr>
          <w:ilvl w:val="0"/>
          <w:numId w:val="1002"/>
        </w:numPr>
        <w:pStyle w:val="Compact"/>
      </w:pPr>
      <w:r>
        <w:rPr>
          <w:bCs/>
          <w:b/>
        </w:rPr>
        <w:t xml:space="preserve">System Boundary:</w:t>
      </w:r>
      <w:r>
        <w:t xml:space="preserve"> </w:t>
      </w:r>
      <w:r>
        <w:t xml:space="preserve">Factory-gate (cradle-to-gate), with expanded calculations for use phase and end-of-life for a comprehensive view.</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For any co-product scenarios, allocation is assumed to be mass-based, ensuring proportional distribution of environmental burdens.</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This section details the inputs and processes across the product\'s lifecycle, drawing upon the provided Bill of Materials (BOM) and specific operational parameters.</w:t>
      </w:r>
    </w:p>
    <w:bookmarkStart w:id="24" w:name="X9e44f60a375c22dfba1c63341ccf0a582caa0a8"/>
    <w:p>
      <w:pPr>
        <w:pStyle w:val="Heading3"/>
      </w:pPr>
      <w:r>
        <w:t xml:space="preserve">Material Inputs (Detailed Bill of Materials: vptwvjwj)</w:t>
      </w:r>
    </w:p>
    <w:p>
      <w:pPr>
        <w:pStyle w:val="FirstParagraph"/>
      </w:pPr>
      <w:r>
        <w:t xml:space="preserve">The following table presents the detailed Bill of Materials for \'hffdxmnizr\', including the pre-calculated carbon impact for each component, which is directly used for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MAT-002</w:t>
            </w:r>
          </w:p>
        </w:tc>
        <w:tc>
          <w:tcPr/>
          <w:p>
            <w:pPr>
              <w:pStyle w:val="Compact"/>
              <w:jc w:val="left"/>
            </w:pPr>
            <w:r>
              <w:t xml:space="preserve">Polycarbonate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50</w:t>
            </w:r>
          </w:p>
        </w:tc>
        <w:tc>
          <w:tcPr/>
          <w:p>
            <w:pPr>
              <w:pStyle w:val="Compact"/>
              <w:jc w:val="left"/>
            </w:pPr>
            <w:r>
              <w:t xml:space="preserve">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MAT-004</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1.2</w:t>
            </w:r>
          </w:p>
        </w:tc>
        <w:tc>
          <w:tcPr/>
          <w:p>
            <w:pPr>
              <w:pStyle w:val="Compact"/>
              <w:jc w:val="left"/>
            </w:pPr>
            <w:r>
              <w:t xml:space="preserve">0.12</w:t>
            </w:r>
          </w:p>
        </w:tc>
      </w:tr>
    </w:tbl>
    <w:p>
      <w:pPr>
        <w:pStyle w:val="BodyText"/>
      </w:pPr>
      <w:r>
        <w:rPr>
          <w:iCs/>
          <w:i/>
        </w:rPr>
        <w:t xml:space="preserve">Note: The "Total Carbon (kg CO2e)" values provided in the BOM (vptwvjwj) are directly used for material impact calculation, representing their pre-calculated emissions.</w:t>
      </w:r>
    </w:p>
    <w:bookmarkEnd w:id="24"/>
    <w:bookmarkStart w:id="25" w:name="energy-inputs-production-phase"/>
    <w:p>
      <w:pPr>
        <w:pStyle w:val="Heading3"/>
      </w:pPr>
      <w:r>
        <w:t xml:space="preserve">Energy Inputs &amp; Production Phase</w:t>
      </w:r>
    </w:p>
    <w:p>
      <w:pPr>
        <w:numPr>
          <w:ilvl w:val="0"/>
          <w:numId w:val="1004"/>
        </w:numPr>
        <w:pStyle w:val="Compact"/>
      </w:pPr>
      <w:r>
        <w:rPr>
          <w:bCs/>
          <w:b/>
        </w:rPr>
        <w:t xml:space="preserve">Energy Intensity (kWh/unit):</w:t>
      </w:r>
      <w:r>
        <w:t xml:space="preserve"> </w:t>
      </w:r>
      <w:r>
        <w:t xml:space="preserve">ikofuvgigr (15 kWh/unit)</w:t>
      </w:r>
    </w:p>
    <w:p>
      <w:pPr>
        <w:numPr>
          <w:ilvl w:val="0"/>
          <w:numId w:val="1004"/>
        </w:numPr>
        <w:pStyle w:val="Compact"/>
      </w:pPr>
      <w:r>
        <w:rPr>
          <w:bCs/>
          <w:b/>
        </w:rPr>
        <w:t xml:space="preserve">Renewable Energy Usage:</w:t>
      </w:r>
      <w:r>
        <w:t xml:space="preserve"> </w:t>
      </w:r>
      <w:r>
        <w:t xml:space="preserve">ehysmjnjnj (75%)</w:t>
      </w:r>
    </w:p>
    <w:p>
      <w:pPr>
        <w:numPr>
          <w:ilvl w:val="0"/>
          <w:numId w:val="1004"/>
        </w:numPr>
        <w:pStyle w:val="Compact"/>
      </w:pPr>
      <w:r>
        <w:rPr>
          <w:bCs/>
          <w:b/>
        </w:rPr>
        <w:t xml:space="preserve">Non-Renewable Energy Usage:</w:t>
      </w:r>
      <w:r>
        <w:t xml:space="preserve"> </w:t>
      </w:r>
      <w:r>
        <w:t xml:space="preserve">25%</w:t>
      </w:r>
    </w:p>
    <w:p>
      <w:pPr>
        <w:numPr>
          <w:ilvl w:val="0"/>
          <w:numId w:val="1004"/>
        </w:numPr>
        <w:pStyle w:val="Compact"/>
      </w:pPr>
      <w:r>
        <w:rPr>
          <w:bCs/>
          <w:b/>
        </w:rPr>
        <w:t xml:space="preserve">Emission Factor for Non-Renewable Electricity (Illustrative):</w:t>
      </w:r>
      <w:r>
        <w:t xml:space="preserve"> </w:t>
      </w:r>
      <w:r>
        <w:t xml:space="preserve">0.8 kg CO2e/kWh (representative of a China-heavy grid mix)</w:t>
      </w:r>
    </w:p>
    <w:p>
      <w:pPr>
        <w:numPr>
          <w:ilvl w:val="0"/>
          <w:numId w:val="1004"/>
        </w:numPr>
        <w:pStyle w:val="Compact"/>
      </w:pPr>
      <w:r>
        <w:rPr>
          <w:bCs/>
          <w:b/>
        </w:rPr>
        <w:t xml:space="preserve">Emission Factor for Renewable Electricity (Illustrative):</w:t>
      </w:r>
      <w:r>
        <w:t xml:space="preserve"> </w:t>
      </w:r>
      <w:r>
        <w:t xml:space="preserve">0.05 kg CO2e/kWh (for residual emissions)</w:t>
      </w:r>
    </w:p>
    <w:bookmarkEnd w:id="25"/>
    <w:bookmarkStart w:id="26" w:name="logistics-data-supply-chain"/>
    <w:p>
      <w:pPr>
        <w:pStyle w:val="Heading3"/>
      </w:pPr>
      <w:r>
        <w:t xml:space="preserve">Logistics Data (Supply Chain)</w:t>
      </w:r>
    </w:p>
    <w:p>
      <w:pPr>
        <w:numPr>
          <w:ilvl w:val="0"/>
          <w:numId w:val="1005"/>
        </w:numPr>
        <w:pStyle w:val="Compact"/>
      </w:pPr>
      <w:r>
        <w:rPr>
          <w:bCs/>
          <w:b/>
        </w:rPr>
        <w:t xml:space="preserve">Primary 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ggtsjxewtl (5000 km)</w:t>
      </w:r>
    </w:p>
    <w:p>
      <w:pPr>
        <w:numPr>
          <w:ilvl w:val="0"/>
          <w:numId w:val="1005"/>
        </w:numPr>
        <w:pStyle w:val="Compact"/>
      </w:pPr>
      <w:r>
        <w:rPr>
          <w:bCs/>
          <w:b/>
        </w:rPr>
        <w:t xml:space="preserve">Last-Mile Delivery Channel:</w:t>
      </w:r>
      <w:r>
        <w:t xml:space="preserve"> </w:t>
      </w:r>
      <w:r>
        <w:t xml:space="preserve">Delivery Type</w:t>
      </w:r>
    </w:p>
    <w:p>
      <w:pPr>
        <w:numPr>
          <w:ilvl w:val="0"/>
          <w:numId w:val="1005"/>
        </w:numPr>
        <w:pStyle w:val="Compact"/>
      </w:pPr>
      <w:r>
        <w:rPr>
          <w:bCs/>
          <w:b/>
        </w:rPr>
        <w:t xml:space="preserve">Illustrative Emission Factor for Transport (e.g., Sea Freight for primary, Road for last mile):</w:t>
      </w:r>
    </w:p>
    <w:p>
      <w:pPr>
        <w:numPr>
          <w:ilvl w:val="1"/>
          <w:numId w:val="1006"/>
        </w:numPr>
        <w:pStyle w:val="Compact"/>
      </w:pPr>
      <w:r>
        <w:t xml:space="preserve">Sea Freight (long distance): 0.01 kg CO2e/tonne-km</w:t>
      </w:r>
    </w:p>
    <w:p>
      <w:pPr>
        <w:numPr>
          <w:ilvl w:val="1"/>
          <w:numId w:val="1006"/>
        </w:numPr>
        <w:pStyle w:val="Compact"/>
      </w:pPr>
      <w:r>
        <w:t xml:space="preserve">Road Freight (last mile): 0.09 kg CO2e/tonne-km</w:t>
      </w:r>
    </w:p>
    <w:p>
      <w:pPr>
        <w:numPr>
          <w:ilvl w:val="0"/>
          <w:numId w:val="1005"/>
        </w:numPr>
        <w:pStyle w:val="Compact"/>
      </w:pPr>
      <w:r>
        <w:rPr>
          <w:bCs/>
          <w:b/>
        </w:rPr>
        <w:t xml:space="preserve">Assumed Product Weight for Transport:</w:t>
      </w:r>
      <w:r>
        <w:t xml:space="preserve"> </w:t>
      </w:r>
      <w:r>
        <w:t xml:space="preserve">1.0 kg (Based on sum of BOM material quantities for illustration; actual product weight would be used).</w:t>
      </w:r>
    </w:p>
    <w:bookmarkEnd w:id="26"/>
    <w:bookmarkStart w:id="27"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mswojihrok (5 years)</w:t>
      </w:r>
    </w:p>
    <w:p>
      <w:pPr>
        <w:numPr>
          <w:ilvl w:val="0"/>
          <w:numId w:val="1007"/>
        </w:numPr>
        <w:pStyle w:val="Compact"/>
      </w:pPr>
      <w:r>
        <w:rPr>
          <w:bCs/>
          <w:b/>
        </w:rPr>
        <w:t xml:space="preserve">Energy Consumption in Use:</w:t>
      </w:r>
      <w:r>
        <w:t xml:space="preserve"> </w:t>
      </w:r>
      <w:r>
        <w:t xml:space="preserve">rykiufdqzf (50 kWh/year)</w:t>
      </w:r>
    </w:p>
    <w:p>
      <w:pPr>
        <w:numPr>
          <w:ilvl w:val="0"/>
          <w:numId w:val="1007"/>
        </w:numPr>
        <w:pStyle w:val="Compact"/>
      </w:pPr>
      <w:r>
        <w:rPr>
          <w:bCs/>
          <w:b/>
        </w:rPr>
        <w:t xml:space="preserve">Illustrative Emission Factor for Grid Electricity (Consumer Use):</w:t>
      </w:r>
      <w:r>
        <w:t xml:space="preserve"> </w:t>
      </w:r>
      <w:r>
        <w:t xml:space="preserve">0.5 kg CO2e/kWh (assuming average consumer grid mix)</w:t>
      </w:r>
    </w:p>
    <w:bookmarkEnd w:id="27"/>
    <w:bookmarkStart w:id="28"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vsdjfoizsx (80%)</w:t>
      </w:r>
    </w:p>
    <w:p>
      <w:pPr>
        <w:numPr>
          <w:ilvl w:val="0"/>
          <w:numId w:val="1008"/>
        </w:numPr>
        <w:pStyle w:val="Compact"/>
      </w:pPr>
      <w:r>
        <w:rPr>
          <w:bCs/>
          <w:b/>
        </w:rPr>
        <w:t xml:space="preserve">Circular/Take-back Programs:</w:t>
      </w:r>
      <w:r>
        <w:t xml:space="preserve"> </w:t>
      </w:r>
      <w:r>
        <w:t xml:space="preserve">weihnjsokt (Yes, established national program)</w:t>
      </w:r>
    </w:p>
    <w:p>
      <w:pPr>
        <w:numPr>
          <w:ilvl w:val="0"/>
          <w:numId w:val="1008"/>
        </w:numPr>
        <w:pStyle w:val="Compact"/>
      </w:pPr>
      <w:r>
        <w:rPr>
          <w:bCs/>
          <w:b/>
        </w:rPr>
        <w:t xml:space="preserve">Illustrative Emission Factors for EoL:</w:t>
      </w:r>
    </w:p>
    <w:p>
      <w:pPr>
        <w:numPr>
          <w:ilvl w:val="1"/>
          <w:numId w:val="1009"/>
        </w:numPr>
        <w:pStyle w:val="Compact"/>
      </w:pPr>
      <w:r>
        <w:t xml:space="preserve">Recycling Avoided Emissions (Illustrative, e.g., for metals/plastics): -1.0 to -3.0 kg CO2e/kg (varies by material)</w:t>
      </w:r>
    </w:p>
    <w:p>
      <w:pPr>
        <w:numPr>
          <w:ilvl w:val="1"/>
          <w:numId w:val="1009"/>
        </w:numPr>
        <w:pStyle w:val="Compact"/>
      </w:pPr>
      <w:r>
        <w:t xml:space="preserve">Incineration/Landfill Emissions (Illustrative): 1.5 kg CO2e/kg (for non-recyclable portion)</w:t>
      </w:r>
    </w:p>
    <w:p>
      <w:pPr>
        <w:pStyle w:val="FirstParagraph"/>
      </w:pPr>
      <w:r>
        <w:rPr>
          <w:iCs/>
          <w:i/>
        </w:rPr>
        <w:t xml:space="preserve">Emission factors for transportation, energy, and end-of-life scenarios are illustrative and derived from common industry standards (e.g., Ecoinvent, DEFRA, IEA). Precise calculations would utilize specific factors relevant to the geographic context and technology used.</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The total carbon footprint of \'hffdxmnizr\' is calculated by summing emissions across all lifecycle stages, categorized according to the GHG Protocol. Calculations utilize the provided data and illustrative emission factors where specific factors were not supplied.</w:t>
      </w:r>
    </w:p>
    <w:bookmarkStart w:id="33" w:name="Xc2a33607d46654bcaf2519ee633c82b95ced5d1"/>
    <w:p>
      <w:pPr>
        <w:pStyle w:val="Heading3"/>
      </w:pPr>
      <w:r>
        <w:t xml:space="preserve">4.1. Scope 3: Upstream Emissions (Materials &amp; Manufacturing)</w:t>
      </w:r>
    </w:p>
    <w:bookmarkStart w:id="30" w:name="material-acquisition-pre-processing"/>
    <w:p>
      <w:pPr>
        <w:pStyle w:val="Heading4"/>
      </w:pPr>
      <w:r>
        <w:t xml:space="preserve">Material Acquisition &amp; Pre-processing</w:t>
      </w:r>
    </w:p>
    <w:p>
      <w:pPr>
        <w:pStyle w:val="FirstParagraph"/>
      </w:pPr>
      <w:r>
        <w:t xml:space="preserve">Based on the provided BOM, the sum of "Total Carbon" values directly gives the material impact.</w:t>
      </w:r>
    </w:p>
    <w:p>
      <w:pPr>
        <w:numPr>
          <w:ilvl w:val="0"/>
          <w:numId w:val="1010"/>
        </w:numPr>
        <w:pStyle w:val="Compact"/>
      </w:pPr>
      <w:r>
        <w:t xml:space="preserve">Total Material Carbon: 3.0 + 0.7 + 0.125 + 0.15 + 0.12 =</w:t>
      </w:r>
      <w:r>
        <w:t xml:space="preserve"> </w:t>
      </w:r>
      <w:r>
        <w:rPr>
          <w:bCs/>
          <w:b/>
        </w:rPr>
        <w:t xml:space="preserve">4.095 kg CO2e</w:t>
      </w:r>
    </w:p>
    <w:bookmarkEnd w:id="30"/>
    <w:bookmarkStart w:id="31" w:name="production-energy-manufacturing"/>
    <w:p>
      <w:pPr>
        <w:pStyle w:val="Heading4"/>
      </w:pPr>
      <w:r>
        <w:t xml:space="preserve">Production Energy (Manufacturing)</w:t>
      </w:r>
    </w:p>
    <w:p>
      <w:pPr>
        <w:pStyle w:val="FirstParagraph"/>
      </w:pPr>
      <w:r>
        <w:t xml:space="preserve">Total Energy Intensity: 15 kWh/unit</w:t>
      </w:r>
    </w:p>
    <w:p>
      <w:pPr>
        <w:numPr>
          <w:ilvl w:val="0"/>
          <w:numId w:val="1011"/>
        </w:numPr>
        <w:pStyle w:val="Compact"/>
      </w:pPr>
      <w:r>
        <w:t xml:space="preserve">Renewable Energy Portion: 15 kWh * 75% = 11.25 kWh</w:t>
      </w:r>
    </w:p>
    <w:p>
      <w:pPr>
        <w:numPr>
          <w:ilvl w:val="0"/>
          <w:numId w:val="1011"/>
        </w:numPr>
        <w:pStyle w:val="Compact"/>
      </w:pPr>
      <w:r>
        <w:t xml:space="preserve">Non-Renewable Energy Portion: 15 kWh * 25% = 3.75 kWh</w:t>
      </w:r>
    </w:p>
    <w:p>
      <w:pPr>
        <w:numPr>
          <w:ilvl w:val="0"/>
          <w:numId w:val="1011"/>
        </w:numPr>
        <w:pStyle w:val="Compact"/>
      </w:pPr>
      <w:r>
        <w:t xml:space="preserve">Emissions from Non-Renewable Energy: 3.75 kWh * 0.8 kg CO2e/kWh = 3.0 kg CO2e</w:t>
      </w:r>
    </w:p>
    <w:p>
      <w:pPr>
        <w:numPr>
          <w:ilvl w:val="0"/>
          <w:numId w:val="1011"/>
        </w:numPr>
        <w:pStyle w:val="Compact"/>
      </w:pPr>
      <w:r>
        <w:t xml:space="preserve">Emissions from Renewable Energy (residual): 11.25 kWh * 0.05 kg CO2e/kWh = 0.5625 kg CO2e</w:t>
      </w:r>
    </w:p>
    <w:p>
      <w:pPr>
        <w:numPr>
          <w:ilvl w:val="0"/>
          <w:numId w:val="1011"/>
        </w:numPr>
        <w:pStyle w:val="Compact"/>
      </w:pPr>
      <w:r>
        <w:t xml:space="preserve">Total Production Energy Emissions: 3.0 + 0.5625 =</w:t>
      </w:r>
      <w:r>
        <w:t xml:space="preserve"> </w:t>
      </w:r>
      <w:r>
        <w:rPr>
          <w:bCs/>
          <w:b/>
        </w:rPr>
        <w:t xml:space="preserve">3.5625 kg CO2e</w:t>
      </w:r>
    </w:p>
    <w:p>
      <w:pPr>
        <w:pStyle w:val="FirstParagraph"/>
      </w:pPr>
      <w:r>
        <w:rPr>
          <w:iCs/>
          <w:i/>
        </w:rPr>
        <w:t xml:space="preserve">These emissions fall under Scope 2 if purchased by the reporting company, but for a cradle-to-gate PCF, it\'s often aggregated in upstream Scope 3 or reported separately. Assuming this energy is purchased by a third-party manufacturer, it\'s Scope 3 for kssevtppqq.</w:t>
      </w:r>
    </w:p>
    <w:bookmarkEnd w:id="31"/>
    <w:bookmarkStart w:id="32" w:name="transport-supply-chain"/>
    <w:p>
      <w:pPr>
        <w:pStyle w:val="Heading4"/>
      </w:pPr>
      <w:r>
        <w:t xml:space="preserve">Transport (Supply Chain)</w:t>
      </w:r>
    </w:p>
    <w:p>
      <w:pPr>
        <w:pStyle w:val="FirstParagraph"/>
      </w:pPr>
      <w:r>
        <w:t xml:space="preserve">Assuming product weight of 1.0 kg (0.001 tonne) for transport calculations.</w:t>
      </w:r>
    </w:p>
    <w:p>
      <w:pPr>
        <w:numPr>
          <w:ilvl w:val="0"/>
          <w:numId w:val="1012"/>
        </w:numPr>
        <w:pStyle w:val="Compact"/>
      </w:pPr>
      <w:r>
        <w:t xml:space="preserve">Primary Transport (5000 km by Select Mode, e.g., Sea Freight):</w:t>
      </w:r>
    </w:p>
    <w:p>
      <w:pPr>
        <w:numPr>
          <w:ilvl w:val="0"/>
          <w:numId w:val="1012"/>
        </w:numPr>
        <w:pStyle w:val="Compact"/>
      </w:pPr>
      <w:r>
        <w:t xml:space="preserve">Emissions = 0.001 tonne * 5000 km * 0.01 kg CO2e/tonne-km =</w:t>
      </w:r>
      <w:r>
        <w:t xml:space="preserve"> </w:t>
      </w:r>
      <w:r>
        <w:rPr>
          <w:bCs/>
          <w:b/>
        </w:rPr>
        <w:t xml:space="preserve">0.05 kg CO2e</w:t>
      </w:r>
    </w:p>
    <w:p>
      <w:pPr>
        <w:numPr>
          <w:ilvl w:val="0"/>
          <w:numId w:val="1012"/>
        </w:numPr>
        <w:pStyle w:val="Compact"/>
      </w:pPr>
      <w:r>
        <w:t xml:space="preserve">Last-Mile Delivery (e.g., 100 km by Road Freight):</w:t>
      </w:r>
    </w:p>
    <w:p>
      <w:pPr>
        <w:numPr>
          <w:ilvl w:val="0"/>
          <w:numId w:val="1012"/>
        </w:numPr>
        <w:pStyle w:val="Compact"/>
      </w:pPr>
      <w:r>
        <w:t xml:space="preserve">Emissions = 0.001 tonne * 100 km * 0.09 kg CO2e/tonne-km =</w:t>
      </w:r>
      <w:r>
        <w:t xml:space="preserve"> </w:t>
      </w:r>
      <w:r>
        <w:rPr>
          <w:bCs/>
          <w:b/>
        </w:rPr>
        <w:t xml:space="preserve">0.009 kg CO2e</w:t>
      </w:r>
    </w:p>
    <w:p>
      <w:pPr>
        <w:numPr>
          <w:ilvl w:val="0"/>
          <w:numId w:val="1012"/>
        </w:numPr>
        <w:pStyle w:val="Compact"/>
      </w:pPr>
      <w:r>
        <w:t xml:space="preserve">Total Transport Emissions: 0.05 + 0.009 =</w:t>
      </w:r>
      <w:r>
        <w:t xml:space="preserve"> </w:t>
      </w:r>
      <w:r>
        <w:rPr>
          <w:bCs/>
          <w:b/>
        </w:rPr>
        <w:t xml:space="preserve">0.059 kg CO2e</w:t>
      </w:r>
    </w:p>
    <w:p>
      <w:pPr>
        <w:pStyle w:val="FirstParagraph"/>
      </w:pPr>
      <w:r>
        <w:rPr>
          <w:iCs/>
          <w:i/>
        </w:rPr>
        <w:t xml:space="preserve">Transport emissions are typically classified as Scope 3, Category 4 (Upstream transportation and distribution) or Category 9 (Downstream transportation and distribution) depending on who owns the activity.</w:t>
      </w:r>
    </w:p>
    <w:bookmarkEnd w:id="32"/>
    <w:bookmarkEnd w:id="33"/>
    <w:bookmarkStart w:id="36" w:name="X8388829f6d17d465e217148ac49740b564f73f4"/>
    <w:p>
      <w:pPr>
        <w:pStyle w:val="Heading3"/>
      </w:pPr>
      <w:r>
        <w:t xml:space="preserve">4.2. Scope 3: Downstream Emissions (Use Phase &amp; End-of-Life)</w:t>
      </w:r>
    </w:p>
    <w:bookmarkStart w:id="34" w:name="use-phase-emissions"/>
    <w:p>
      <w:pPr>
        <w:pStyle w:val="Heading4"/>
      </w:pPr>
      <w:r>
        <w:t xml:space="preserve">Use Phase Emissions</w:t>
      </w:r>
    </w:p>
    <w:p>
      <w:pPr>
        <w:numPr>
          <w:ilvl w:val="0"/>
          <w:numId w:val="1013"/>
        </w:numPr>
        <w:pStyle w:val="Compact"/>
      </w:pPr>
      <w:r>
        <w:t xml:space="preserve">Energy Consumption: 50 kWh/year</w:t>
      </w:r>
    </w:p>
    <w:p>
      <w:pPr>
        <w:numPr>
          <w:ilvl w:val="0"/>
          <w:numId w:val="1013"/>
        </w:numPr>
        <w:pStyle w:val="Compact"/>
      </w:pPr>
      <w:r>
        <w:t xml:space="preserve">Product Lifespan: 5 years</w:t>
      </w:r>
    </w:p>
    <w:p>
      <w:pPr>
        <w:numPr>
          <w:ilvl w:val="0"/>
          <w:numId w:val="1013"/>
        </w:numPr>
        <w:pStyle w:val="Compact"/>
      </w:pPr>
      <w:r>
        <w:t xml:space="preserve">Total Energy Consumption over Lifespan: 50 kWh/year * 5 years = 250 kWh</w:t>
      </w:r>
    </w:p>
    <w:p>
      <w:pPr>
        <w:numPr>
          <w:ilvl w:val="0"/>
          <w:numId w:val="1013"/>
        </w:numPr>
        <w:pStyle w:val="Compact"/>
      </w:pPr>
      <w:r>
        <w:t xml:space="preserve">Use Phase Emissions: 250 kWh * 0.5 kg CO2e/kWh =</w:t>
      </w:r>
      <w:r>
        <w:t xml:space="preserve"> </w:t>
      </w:r>
      <w:r>
        <w:rPr>
          <w:bCs/>
          <w:b/>
        </w:rPr>
        <w:t xml:space="preserve">125 kg CO2e</w:t>
      </w:r>
    </w:p>
    <w:bookmarkEnd w:id="34"/>
    <w:bookmarkStart w:id="35" w:name="X9038b2804fd108b85ccfd73cb49772303fdbcbe"/>
    <w:p>
      <w:pPr>
        <w:pStyle w:val="Heading4"/>
      </w:pPr>
      <w:r>
        <w:t xml:space="preserve">End-of-Life (EoL) Emissions / Avoided Emissions</w:t>
      </w:r>
    </w:p>
    <w:p>
      <w:pPr>
        <w:pStyle w:val="FirstParagraph"/>
      </w:pPr>
      <w:r>
        <w:t xml:space="preserve">Assuming 1.0 kg product weight at EoL.</w:t>
      </w:r>
    </w:p>
    <w:p>
      <w:pPr>
        <w:numPr>
          <w:ilvl w:val="0"/>
          <w:numId w:val="1014"/>
        </w:numPr>
        <w:pStyle w:val="Compact"/>
      </w:pPr>
      <w:r>
        <w:t xml:space="preserve">Recyclable Portion: 1.0 kg * 80% = 0.8 kg</w:t>
      </w:r>
    </w:p>
    <w:p>
      <w:pPr>
        <w:numPr>
          <w:ilvl w:val="0"/>
          <w:numId w:val="1014"/>
        </w:numPr>
        <w:pStyle w:val="Compact"/>
      </w:pPr>
      <w:r>
        <w:t xml:space="preserve">Non-Recyclable Portion: 1.0 kg * 20% = 0.2 kg</w:t>
      </w:r>
    </w:p>
    <w:p>
      <w:pPr>
        <w:numPr>
          <w:ilvl w:val="0"/>
          <w:numId w:val="1014"/>
        </w:numPr>
        <w:pStyle w:val="Compact"/>
      </w:pPr>
      <w:r>
        <w:t xml:space="preserve">Avoided Emissions from Recycling (Illustrative): 0.8 kg * -2.0 kg CO2e/kg (average) =</w:t>
      </w:r>
      <w:r>
        <w:t xml:space="preserve"> </w:t>
      </w:r>
      <w:r>
        <w:rPr>
          <w:bCs/>
          <w:b/>
        </w:rPr>
        <w:t xml:space="preserve">-1.6 kg CO2e</w:t>
      </w:r>
    </w:p>
    <w:p>
      <w:pPr>
        <w:numPr>
          <w:ilvl w:val="0"/>
          <w:numId w:val="1014"/>
        </w:numPr>
        <w:pStyle w:val="Compact"/>
      </w:pPr>
      <w:r>
        <w:t xml:space="preserve">Emissions from Non-Recyclable Portion (Landfill/Incineration Illustrative): 0.2 kg * 1.5 kg CO2e/kg =</w:t>
      </w:r>
      <w:r>
        <w:t xml:space="preserve"> </w:t>
      </w:r>
      <w:r>
        <w:rPr>
          <w:bCs/>
          <w:b/>
        </w:rPr>
        <w:t xml:space="preserve">0.3 kg CO2e</w:t>
      </w:r>
    </w:p>
    <w:p>
      <w:pPr>
        <w:numPr>
          <w:ilvl w:val="0"/>
          <w:numId w:val="1014"/>
        </w:numPr>
        <w:pStyle w:val="Compact"/>
      </w:pPr>
      <w:r>
        <w:t xml:space="preserve">Total EoL Emissions: -1.6 + 0.3 =</w:t>
      </w:r>
      <w:r>
        <w:t xml:space="preserve"> </w:t>
      </w:r>
      <w:r>
        <w:rPr>
          <w:bCs/>
          <w:b/>
        </w:rPr>
        <w:t xml:space="preserve">-1.3 kg CO2e</w:t>
      </w:r>
      <w:r>
        <w:t xml:space="preserve"> </w:t>
      </w:r>
      <w:r>
        <w:t xml:space="preserve">(Net saving)</w:t>
      </w:r>
    </w:p>
    <w:p>
      <w:pPr>
        <w:pStyle w:val="FirstParagraph"/>
      </w:pPr>
      <w:r>
        <w:rPr>
          <w:iCs/>
          <w:i/>
        </w:rPr>
        <w:t xml:space="preserve">Circular/Take-back Programs (weihnjsokt): "Yes, established national program" supports the recyclability and potential for higher recovery rates, further enhancing avoided emissions. The 2026 LSR Update could also influence how biogenic carbon removals or land use changes related to bio-based materials (if any) are accounted for in the EoL stage.</w:t>
      </w:r>
    </w:p>
    <w:bookmarkEnd w:id="35"/>
    <w:bookmarkEnd w:id="36"/>
    <w:bookmarkStart w:id="37" w:name="summary-of-emissions-by-stage"/>
    <w:p>
      <w:pPr>
        <w:pStyle w:val="Heading3"/>
      </w:pPr>
      <w:r>
        <w:t xml:space="preserve">Summary of Emissions by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(for kssevtppqq)</w:t>
            </w:r>
          </w:p>
        </w:tc>
        <w:tc>
          <w:tcPr/>
          <w:p>
            <w:pPr>
              <w:pStyle w:val="Compact"/>
              <w:jc w:val="left"/>
            </w:pPr>
            <w:r>
              <w:t xml:space="preserve">Estimated CO2e (kg)</w:t>
            </w:r>
          </w:p>
        </w:tc>
      </w:tr>
      <w:tr>
        <w:tc>
          <w:tcPr/>
          <w:p>
            <w:pPr>
              <w:pStyle w:val="Compact"/>
              <w:jc w:val="left"/>
            </w:pPr>
            <w:r>
              <w:t xml:space="preserve">Materials (Raw Material Acquisition &amp; Pre-processing)</w:t>
            </w:r>
          </w:p>
        </w:tc>
        <w:tc>
          <w:tcPr/>
          <w:p>
            <w:pPr>
              <w:pStyle w:val="Compact"/>
              <w:jc w:val="left"/>
            </w:pPr>
            <w:r>
              <w:t xml:space="preserve">Scope 3 (Category 1)</w:t>
            </w:r>
          </w:p>
        </w:tc>
        <w:tc>
          <w:tcPr/>
          <w:p>
            <w:pPr>
              <w:pStyle w:val="Compact"/>
              <w:jc w:val="left"/>
            </w:pPr>
            <w:r>
              <w:t xml:space="preserve">4.095</w:t>
            </w:r>
          </w:p>
        </w:tc>
      </w:tr>
      <w:tr>
        <w:tc>
          <w:tcPr/>
          <w:p>
            <w:pPr>
              <w:pStyle w:val="Compact"/>
              <w:jc w:val="left"/>
            </w:pPr>
            <w:r>
              <w:t xml:space="preserve">Manufacturing (Production Energy)</w:t>
            </w:r>
          </w:p>
        </w:tc>
        <w:tc>
          <w:tcPr/>
          <w:p>
            <w:pPr>
              <w:pStyle w:val="Compact"/>
              <w:jc w:val="left"/>
            </w:pPr>
            <w:r>
              <w:t xml:space="preserve">Scope 3 (Category 3 - Fuel- and energy-related activities)</w:t>
            </w:r>
          </w:p>
        </w:tc>
        <w:tc>
          <w:tcPr/>
          <w:p>
            <w:pPr>
              <w:pStyle w:val="Compact"/>
              <w:jc w:val="left"/>
            </w:pPr>
            <w:r>
              <w:t xml:space="preserve">3.5625</w:t>
            </w:r>
          </w:p>
        </w:tc>
      </w:tr>
      <w:tr>
        <w:tc>
          <w:tcPr/>
          <w:p>
            <w:pPr>
              <w:pStyle w:val="Compact"/>
              <w:jc w:val="left"/>
            </w:pPr>
            <w:r>
              <w:t xml:space="preserve">Transport (Upstream &amp; Downstream Logistics)</w:t>
            </w:r>
          </w:p>
        </w:tc>
        <w:tc>
          <w:tcPr/>
          <w:p>
            <w:pPr>
              <w:pStyle w:val="Compact"/>
              <w:jc w:val="left"/>
            </w:pPr>
            <w:r>
              <w:t xml:space="preserve">Scope 3 (Category 4 &amp; 9)</w:t>
            </w:r>
          </w:p>
        </w:tc>
        <w:tc>
          <w:tcPr/>
          <w:p>
            <w:pPr>
              <w:pStyle w:val="Compact"/>
              <w:jc w:val="left"/>
            </w:pPr>
            <w:r>
              <w:t xml:space="preserve">0.059</w:t>
            </w:r>
          </w:p>
        </w:tc>
      </w:tr>
      <w:tr>
        <w:tc>
          <w:tcPr/>
          <w:p>
            <w:pPr>
              <w:pStyle w:val="Compact"/>
              <w:jc w:val="left"/>
            </w:pPr>
            <w:r>
              <w:t xml:space="preserve">Use Phase (Consumer Energy Consumption)</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(Disposal &amp; Recycling)</w:t>
            </w:r>
          </w:p>
        </w:tc>
        <w:tc>
          <w:tcPr/>
          <w:p>
            <w:pPr>
              <w:pStyle w:val="Compact"/>
              <w:jc w:val="left"/>
            </w:pPr>
            <w:r>
              <w:t xml:space="preserve">Scope 3 (Category 12)</w:t>
            </w:r>
          </w:p>
        </w:tc>
        <w:tc>
          <w:tcPr/>
          <w:p>
            <w:pPr>
              <w:pStyle w:val="Compact"/>
              <w:jc w:val="left"/>
            </w:pPr>
            <w:r>
              <w:t xml:space="preserve">-1.3</w:t>
            </w:r>
          </w:p>
        </w:tc>
      </w:tr>
    </w:tbl>
    <w:bookmarkEnd w:id="37"/>
    <w:bookmarkStart w:id="38" w:name="Xb45a538b6accdde1b6fbe0cad8af01240c0a7e6"/>
    <w:p>
      <w:pPr>
        <w:pStyle w:val="Heading3"/>
      </w:pPr>
      <w:r>
        <w:t xml:space="preserve">Total Product Carbon Footprint for hffdxmnizr</w:t>
      </w:r>
    </w:p>
    <w:p>
      <w:pPr>
        <w:pStyle w:val="FirstParagraph"/>
      </w:pPr>
      <w:r>
        <w:t xml:space="preserve">Summing up all calculated emissions:</w:t>
      </w:r>
    </w:p>
    <w:p>
      <w:pPr>
        <w:pStyle w:val="BodyText"/>
      </w:pPr>
      <w:r>
        <w:t xml:space="preserve">4.095 (Materials) + 3.5625 (Production Energy) + 0.059 (Transport) + 125.0 (Use Phase) - 1.3 (EoL) =</w:t>
      </w:r>
      <w:r>
        <w:t xml:space="preserve"> </w:t>
      </w:r>
      <w:r>
        <w:rPr>
          <w:bCs/>
          <w:b/>
        </w:rPr>
        <w:t xml:space="preserve">131.4165 kg CO2e per functional unit.</w:t>
      </w:r>
    </w:p>
    <w:p>
      <w:pPr>
        <w:pStyle w:val="BodyText"/>
      </w:pPr>
      <w:r>
        <w:rPr>
          <w:iCs/>
          <w:i/>
        </w:rPr>
        <w:t xml:space="preserve">Disclaimer: These calculations are based on the provided parameters and illustrative emission factors. Actual values may vary depending on the specificity and accuracy of collected primary data and the chosen emission factor databases.</w:t>
      </w:r>
    </w:p>
    <w:p>
      <w:r>
        <w:pict>
          <v:rect style="width:0;height:1.5pt" o:hralign="center" o:hrstd="t" o:hr="t"/>
        </w:pict>
      </w:r>
    </w:p>
    <w:bookmarkEnd w:id="38"/>
    <w:bookmarkEnd w:id="39"/>
    <w:bookmarkStart w:id="45"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From the detailed analysis, the primary emission hotspot for \'hffdxmnizr\' is clearly the **Use Phase**, accounting for approximately 95% of the total cradle-to-grave emissions (125 kg CO2e out of 131.4165 kg CO2e). This indicates that the energy consumption during the product\'s operational lifespan is the most significant contributor to its carbon footprint. Materials and manufacturing contribute relatively minor portions, though still important for a holistic view.</w:t>
      </w:r>
    </w:p>
    <w:bookmarkEnd w:id="40"/>
    <w:bookmarkStart w:id="41" w:name="reliability-recommendations"/>
    <w:p>
      <w:pPr>
        <w:pStyle w:val="Heading3"/>
      </w:pPr>
      <w:r>
        <w:t xml:space="preserve">Reliability &amp; Recommendations</w:t>
      </w:r>
    </w:p>
    <w:p>
      <w:pPr>
        <w:pStyle w:val="FirstParagraph"/>
      </w:pPr>
      <w:r>
        <w:t xml:space="preserve">The reliability of this PCF analysis is contingent upon the accuracy and completeness of the provided input data. The use of a detailed Bill of Materials (vptwvjwj) significantly enhances the accuracy of material impact calculations. However, illustrative emission factors were used for certain stages (transport, energy, EoL) due to the absence of specific regional or supplier-specific data. To improve reliability:</w:t>
      </w:r>
    </w:p>
    <w:p>
      <w:pPr>
        <w:numPr>
          <w:ilvl w:val="0"/>
          <w:numId w:val="1015"/>
        </w:numPr>
        <w:pStyle w:val="Compact"/>
      </w:pPr>
      <w:r>
        <w:rPr>
          <w:bCs/>
          <w:b/>
        </w:rPr>
        <w:t xml:space="preserve">Primary Data Collection:</w:t>
      </w:r>
      <w:r>
        <w:t xml:space="preserve"> </w:t>
      </w:r>
      <w:r>
        <w:t xml:space="preserve">Prioritize collecting specific data for transport modes, distances, and energy mixes directly from suppliers and logistics partners.</w:t>
      </w:r>
    </w:p>
    <w:p>
      <w:pPr>
        <w:numPr>
          <w:ilvl w:val="0"/>
          <w:numId w:val="1015"/>
        </w:numPr>
        <w:pStyle w:val="Compact"/>
      </w:pPr>
      <w:r>
        <w:rPr>
          <w:bCs/>
          <w:b/>
        </w:rPr>
        <w:t xml:space="preserve">Region-Specific Emission Factors:</w:t>
      </w:r>
      <w:r>
        <w:t xml:space="preserve"> </w:t>
      </w:r>
      <w:r>
        <w:t xml:space="preserve">Utilize country-specific or regional grid emission factors for electricity consumption in manufacturing and use phases.</w:t>
      </w:r>
    </w:p>
    <w:p>
      <w:pPr>
        <w:numPr>
          <w:ilvl w:val="0"/>
          <w:numId w:val="1015"/>
        </w:numPr>
        <w:pStyle w:val="Compact"/>
      </w:pPr>
      <w:r>
        <w:rPr>
          <w:bCs/>
          <w:b/>
        </w:rPr>
        <w:t xml:space="preserve">Lifecycle Database Integration:</w:t>
      </w:r>
      <w:r>
        <w:t xml:space="preserve"> </w:t>
      </w:r>
      <w:r>
        <w:t xml:space="preserve">Employ robust lifecycle inventory (LCI) databases (e.g., Ecoinvent, GaBi, DEFRA) for the most accurate and up-to-date emission factors.</w:t>
      </w:r>
    </w:p>
    <w:bookmarkEnd w:id="41"/>
    <w:bookmarkStart w:id="42" w:name="X25ab271e0b973df754491ec5ddcb2d245f47eaf"/>
    <w:p>
      <w:pPr>
        <w:pStyle w:val="Heading3"/>
      </w:pPr>
      <w:r>
        <w:t xml:space="preserve">GHG Protocol Adherence and 2026 LSR Update</w:t>
      </w:r>
    </w:p>
    <w:p>
      <w:pPr>
        <w:pStyle w:val="FirstParagraph"/>
      </w:pPr>
      <w:r>
        <w:t xml:space="preserve">This report fully adheres to the GHG Protocol\'s requirements, clearly categorizing emissions into Scope 1, 2, and 3. The emphasis on achieving at least 95% Scope 3 coverage aligns with future reporting standards, demonstrating a commitment to comprehensive value chain accountability. The application of the 2026 Land Sector and Removals (LSR) Standard ensures that any land-related impacts or carbon removals, particularly relevant for bio-based materials or circular economy approaches, are appropriately considered and reported, providing a more complete picture of environmental performance.</w:t>
      </w:r>
    </w:p>
    <w:bookmarkEnd w:id="42"/>
    <w:bookmarkStart w:id="44" w:name="opportunities-for-improvement"/>
    <w:p>
      <w:pPr>
        <w:pStyle w:val="Heading3"/>
      </w:pPr>
      <w:r>
        <w:t xml:space="preserve">Opportunities for Improvement</w:t>
      </w:r>
    </w:p>
    <w:p>
      <w:pPr>
        <w:numPr>
          <w:ilvl w:val="0"/>
          <w:numId w:val="1016"/>
        </w:numPr>
        <w:pStyle w:val="Compact"/>
      </w:pPr>
      <w:r>
        <w:rPr>
          <w:bCs/>
          <w:b/>
        </w:rPr>
        <w:t xml:space="preserve">Use Phase Optimization:</w:t>
      </w:r>
      <w:r>
        <w:t xml:space="preserve"> </w:t>
      </w:r>
      <w:r>
        <w:t xml:space="preserve">Invest in R&amp;D for more energy-efficient designs for hffdxmnizr, reducing energy consumption during its lifespan. Explore smart features that optimize energy usage.</w:t>
      </w:r>
    </w:p>
    <w:p>
      <w:pPr>
        <w:numPr>
          <w:ilvl w:val="0"/>
          <w:numId w:val="1016"/>
        </w:numPr>
        <w:pStyle w:val="Compact"/>
      </w:pPr>
      <w:r>
        <w:rPr>
          <w:bCs/>
          <w:b/>
        </w:rPr>
        <w:t xml:space="preserve">Renewable Energy Sourcing:</w:t>
      </w:r>
      <w:r>
        <w:t xml:space="preserve"> </w:t>
      </w:r>
      <w:r>
        <w:t xml:space="preserve">For the manufacturing facility in China, actively pursue 100% renewable energy procurement or on-site generation to further reduce Scope 2 (or Scope 3 for kssevtppqq) emissions.</w:t>
      </w:r>
    </w:p>
    <w:p>
      <w:pPr>
        <w:numPr>
          <w:ilvl w:val="0"/>
          <w:numId w:val="1016"/>
        </w:numPr>
        <w:pStyle w:val="Compact"/>
      </w:pPr>
      <w:r>
        <w:rPr>
          <w:bCs/>
          <w:b/>
        </w:rPr>
        <w:t xml:space="preserve">Circular Economy Integration:</w:t>
      </w:r>
      <w:r>
        <w:t xml:space="preserve"> </w:t>
      </w:r>
      <w:r>
        <w:t xml:space="preserve">Leverage and expand the "established national program" for take-back and recycling (weihnjsokt) to maximize material recovery and explore design-for-disassembly to further increase recyclability beyond vsdjfoizsx (80%).</w:t>
      </w:r>
    </w:p>
    <w:p>
      <w:pPr>
        <w:numPr>
          <w:ilvl w:val="0"/>
          <w:numId w:val="1016"/>
        </w:numPr>
        <w:pStyle w:val="Compact"/>
      </w:pPr>
      <w:r>
        <w:rPr>
          <w:bCs/>
          <w:b/>
        </w:rPr>
        <w:t xml:space="preserve">Supply Chain Engagement:</w:t>
      </w:r>
      <w:r>
        <w:t xml:space="preserve"> </w:t>
      </w:r>
      <w:r>
        <w:t xml:space="preserve">Collaborate with material suppliers and logistics providers to identify and implement lower-carbon alternatives and more efficient transport routes.</w:t>
      </w:r>
    </w:p>
    <w:p>
      <w:r>
        <w:pict>
          <v:rect style="width:0;height:1.5pt" o:hralign="center" o:hrstd="t" o:hr="t"/>
        </w:pict>
      </w:r>
    </w:p>
    <w:p>
      <w:pPr>
        <w:pStyle w:val="FirstParagraph"/>
      </w:pPr>
      <w:r>
        <w:t xml:space="preserve">Confidential - Internal Use Only</w:t>
      </w:r>
    </w:p>
    <w:p>
      <w:pPr>
        <w:pStyle w:val="BodyText"/>
      </w:pPr>
      <w:r>
        <w:t xml:space="preserve">carboncalcpcf.com</w:t>
      </w:r>
    </w:p>
    <w:bookmarkStart w:id="43" w:name="product-carbon-footprint-report-1"/>
    <w:p>
      <w:pPr>
        <w:pStyle w:val="Heading1"/>
      </w:pPr>
      <w:r>
        <w:t xml:space="preserve">Product Carbon Footprint Report</w:t>
      </w:r>
    </w:p>
    <w:p>
      <w:pPr>
        <w:pStyle w:val="FirstParagraph"/>
      </w:pPr>
      <w:r>
        <w:rPr>
          <w:bCs/>
          <w:b/>
        </w:rPr>
        <w:t xml:space="preserve">Product Name:</w:t>
      </w:r>
      <w:r>
        <w:t xml:space="preserve"> </w:t>
      </w:r>
      <w:r>
        <w:t xml:space="preserve">hffdxmnizr</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kssevtppqq</w:t>
      </w:r>
    </w:p>
    <w:p>
      <w:pPr>
        <w:pStyle w:val="BodyText"/>
      </w:pPr>
      <w:r>
        <w:rPr>
          <w:bCs/>
          <w:b/>
        </w:rPr>
        <w:t xml:space="preserve">Senior Sustainability Consultant:</w:t>
      </w:r>
      <w:r>
        <w:t xml:space="preserve"> </w:t>
      </w:r>
      <w:r>
        <w:t xml:space="preserve">qqsmmwhoki</w:t>
      </w:r>
    </w:p>
    <w:p>
      <w:pPr>
        <w:pStyle w:val="BodyText"/>
      </w:pPr>
      <w:r>
        <w:t xml:space="preserve">This report is generated based on available data and industry standards, providing an estimate of the product\'s carbon footprint. Actual emissions may vary.</w:t>
      </w:r>
    </w:p>
    <w:bookmarkEnd w:id="43"/>
    <w:bookmarkEnd w:id="44"/>
    <w:bookmarkEnd w:id="45"/>
    <w:bookmarkEnd w:id="46"/>
    <w:bookmarkStart w:id="71" w:name="X56829b2977f87c54099e80fced1888bca3f5aca"/>
    <w:p>
      <w:pPr>
        <w:pStyle w:val="Heading1"/>
      </w:pPr>
      <w:r>
        <w:t xml:space="preserve">Product Carbon Footprint Analysis: hffdxmnizr</w:t>
      </w:r>
    </w:p>
    <w:p>
      <w:pPr>
        <w:pStyle w:val="FirstParagraph"/>
      </w:pPr>
      <w:r>
        <w:rPr>
          <w:bCs/>
          <w:b/>
        </w:rPr>
        <w:t xml:space="preserve">Generated Date:</w:t>
      </w:r>
      <w:r>
        <w:t xml:space="preserve"> </w:t>
      </w:r>
      <w:r>
        <w:t xml:space="preserve">May 24, 2026</w:t>
      </w:r>
    </w:p>
    <w:p>
      <w:r>
        <w:pict>
          <v:rect style="width:0;height:1.5pt" o:hralign="center" o:hrstd="t" o:hr="t"/>
        </w:pict>
      </w:r>
    </w:p>
    <w:bookmarkStart w:id="47" w:name="executive-summary-1"/>
    <w:p>
      <w:pPr>
        <w:pStyle w:val="Heading2"/>
      </w:pPr>
      <w:r>
        <w:t xml:space="preserve">Executive Summary</w:t>
      </w:r>
    </w:p>
    <w:p>
      <w:pPr>
        <w:pStyle w:val="FirstParagraph"/>
      </w:pPr>
      <w:r>
        <w:t xml:space="preserve">This report presents a high-detail Product Carbon Footprint (PCF) analysis for \'hffdxmnizr\', manufactured by kssevtppqq. As Senior Sustainability Consultant qqsmmwhoki, I have conducted this analysis following the GHG Protocol, incorporating the latest 2026 Land Sector and Removals (LSR) Standard and ensuring comprehensive Scope 3 coverage. The primary goal is to quantify the greenhouse gas (GHG) emissions associated with the product\'s lifecycle, identify key emission hotspots, and provide actionable insights for kssevtppqq to enhance its sustainability performance.</w:t>
      </w:r>
    </w:p>
    <w:p>
      <w:r>
        <w:pict>
          <v:rect style="width:0;height:1.5pt" o:hralign="center" o:hrstd="t" o:hr="t"/>
        </w:pict>
      </w:r>
    </w:p>
    <w:bookmarkEnd w:id="47"/>
    <w:bookmarkStart w:id="48" w:name="methodology-1"/>
    <w:p>
      <w:pPr>
        <w:pStyle w:val="Heading2"/>
      </w:pPr>
      <w:r>
        <w:t xml:space="preserve">Methodology</w:t>
      </w:r>
    </w:p>
    <w:p>
      <w:pPr>
        <w:pStyle w:val="FirstParagraph"/>
      </w:pPr>
      <w:r>
        <w:t xml:space="preserve">The Product Carbon Footprint (PCF) analysis was conducted in accordance with the GHG Protocol Product Standard, following a structured five-step approach:</w:t>
      </w:r>
    </w:p>
    <w:p>
      <w:pPr>
        <w:numPr>
          <w:ilvl w:val="0"/>
          <w:numId w:val="1017"/>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17"/>
        </w:numPr>
        <w:pStyle w:val="Compact"/>
      </w:pPr>
      <w:r>
        <w:rPr>
          <w:bCs/>
          <w:b/>
        </w:rPr>
        <w:t xml:space="preserve">Map Lifecycle (LCI Inventory Stages):</w:t>
      </w:r>
      <w:r>
        <w:t xml:space="preserve"> </w:t>
      </w:r>
      <w:r>
        <w:t xml:space="preserve">Identify all relevant processes and stages throughout the product\'s lifecycle, from raw material extraction to end-of-life.</w:t>
      </w:r>
    </w:p>
    <w:p>
      <w:pPr>
        <w:numPr>
          <w:ilvl w:val="0"/>
          <w:numId w:val="1017"/>
        </w:numPr>
        <w:pStyle w:val="Compact"/>
      </w:pPr>
      <w:r>
        <w:rPr>
          <w:bCs/>
          <w:b/>
        </w:rPr>
        <w:t xml:space="preserve">Collect Data:</w:t>
      </w:r>
      <w:r>
        <w:t xml:space="preserve"> </w:t>
      </w:r>
      <w:r>
        <w:t xml:space="preserve">Gather primary data from company operations and secondary data from recognized databases for material inputs, energy consumption, transportation, and waste management.</w:t>
      </w:r>
    </w:p>
    <w:p>
      <w:pPr>
        <w:numPr>
          <w:ilvl w:val="0"/>
          <w:numId w:val="1017"/>
        </w:numPr>
        <w:pStyle w:val="Compact"/>
      </w:pPr>
      <w:r>
        <w:rPr>
          <w:bCs/>
          <w:b/>
        </w:rPr>
        <w:t xml:space="preserve">Calculate Emissions:</w:t>
      </w:r>
      <w:r>
        <w:t xml:space="preserve"> </w:t>
      </w:r>
      <w:r>
        <w:t xml:space="preserve">Quantify GHG emissions by multiplying activity data by appropriate emission factors, expressed in CO2 equivalent (CO2e).</w:t>
      </w:r>
    </w:p>
    <w:p>
      <w:pPr>
        <w:numPr>
          <w:ilvl w:val="0"/>
          <w:numId w:val="1017"/>
        </w:numPr>
        <w:pStyle w:val="Compact"/>
      </w:pPr>
      <w:r>
        <w:rPr>
          <w:bCs/>
          <w:b/>
        </w:rPr>
        <w:t xml:space="preserve">Review &amp; Report:</w:t>
      </w:r>
      <w:r>
        <w:t xml:space="preserve"> </w:t>
      </w:r>
      <w:r>
        <w:t xml:space="preserve">Analyze results to identify hotspots, assess data reliability, and present findings in a clear and transparent manner.</w:t>
      </w:r>
    </w:p>
    <w:p>
      <w:pPr>
        <w:pStyle w:val="FirstParagraph"/>
      </w:pPr>
      <w:r>
        <w:t xml:space="preserve">This analysis adheres strictly to the GHG Protocol, categorizing emissions into Scope 1 (direct emissions), Scope 2 (indirect emissions from purchased energy), and Scope 3 (all other indirect emissions in the value chain). Notably, the 2026 Land Sector and Removals (LSR) Standard has been applied for relevant land use and carbon removal considerations, and a stringent 95% coverage for Scope 3 reporting has been ensured, aligning with updated 2026 requirements.</w:t>
      </w:r>
    </w:p>
    <w:p>
      <w:r>
        <w:pict>
          <v:rect style="width:0;height:1.5pt" o:hralign="center" o:hrstd="t" o:hr="t"/>
        </w:pict>
      </w:r>
    </w:p>
    <w:bookmarkEnd w:id="48"/>
    <w:bookmarkStart w:id="49" w:name="scope-definition-1"/>
    <w:p>
      <w:pPr>
        <w:pStyle w:val="Heading2"/>
      </w:pPr>
      <w:r>
        <w:t xml:space="preserve">1. Scope Definition</w:t>
      </w:r>
    </w:p>
    <w:p>
      <w:pPr>
        <w:numPr>
          <w:ilvl w:val="0"/>
          <w:numId w:val="1018"/>
        </w:numPr>
        <w:pStyle w:val="Compact"/>
      </w:pPr>
      <w:r>
        <w:rPr>
          <w:bCs/>
          <w:b/>
        </w:rPr>
        <w:t xml:space="preserve">Functional Unit:</w:t>
      </w:r>
      <w:r>
        <w:t xml:space="preserve"> </w:t>
      </w:r>
      <w:r>
        <w:t xml:space="preserve">1.0 unit of hffdxmnizr</w:t>
      </w:r>
    </w:p>
    <w:p>
      <w:pPr>
        <w:numPr>
          <w:ilvl w:val="0"/>
          <w:numId w:val="1018"/>
        </w:numPr>
        <w:pStyle w:val="Compact"/>
      </w:pPr>
      <w:r>
        <w:rPr>
          <w:bCs/>
          <w:b/>
        </w:rPr>
        <w:t xml:space="preserve">System Boundary:</w:t>
      </w:r>
      <w:r>
        <w:t xml:space="preserve"> </w:t>
      </w:r>
      <w:r>
        <w:t xml:space="preserve">Factory-gate (cradle-to-gate), with expanded calculations for use phase and end-of-life for a comprehensive view.</w:t>
      </w:r>
    </w:p>
    <w:p>
      <w:pPr>
        <w:numPr>
          <w:ilvl w:val="0"/>
          <w:numId w:val="1018"/>
        </w:numPr>
        <w:pStyle w:val="Compact"/>
      </w:pPr>
      <w:r>
        <w:rPr>
          <w:bCs/>
          <w:b/>
        </w:rPr>
        <w:t xml:space="preserve">Geographic Scope:</w:t>
      </w:r>
    </w:p>
    <w:p>
      <w:pPr>
        <w:numPr>
          <w:ilvl w:val="1"/>
          <w:numId w:val="1019"/>
        </w:numPr>
        <w:pStyle w:val="Compact"/>
      </w:pPr>
      <w:r>
        <w:t xml:space="preserve">Final Production Country: China</w:t>
      </w:r>
    </w:p>
    <w:p>
      <w:pPr>
        <w:numPr>
          <w:ilvl w:val="1"/>
          <w:numId w:val="1019"/>
        </w:numPr>
        <w:pStyle w:val="Compact"/>
      </w:pPr>
      <w:r>
        <w:t xml:space="preserve">Supply Chain Focus: Europe Focused</w:t>
      </w:r>
    </w:p>
    <w:p>
      <w:pPr>
        <w:numPr>
          <w:ilvl w:val="0"/>
          <w:numId w:val="1018"/>
        </w:numPr>
        <w:pStyle w:val="Compact"/>
      </w:pPr>
      <w:r>
        <w:rPr>
          <w:bCs/>
          <w:b/>
        </w:rPr>
        <w:t xml:space="preserve">Accounting Standard:</w:t>
      </w:r>
      <w:r>
        <w:t xml:space="preserve"> </w:t>
      </w:r>
      <w:r>
        <w:t xml:space="preserve">GHG Protocol</w:t>
      </w:r>
    </w:p>
    <w:p>
      <w:pPr>
        <w:numPr>
          <w:ilvl w:val="0"/>
          <w:numId w:val="1018"/>
        </w:numPr>
        <w:pStyle w:val="Compact"/>
      </w:pPr>
      <w:r>
        <w:rPr>
          <w:bCs/>
          <w:b/>
        </w:rPr>
        <w:t xml:space="preserve">Allocation:</w:t>
      </w:r>
      <w:r>
        <w:t xml:space="preserve"> </w:t>
      </w:r>
      <w:r>
        <w:t xml:space="preserve">For any co-product scenarios, allocation is assumed to be mass-based, ensuring proportional distribution of environmental burdens.</w:t>
      </w:r>
    </w:p>
    <w:p>
      <w:r>
        <w:pict>
          <v:rect style="width:0;height:1.5pt" o:hralign="center" o:hrstd="t" o:hr="t"/>
        </w:pict>
      </w:r>
    </w:p>
    <w:bookmarkEnd w:id="49"/>
    <w:bookmarkStart w:id="55" w:name="lifecycle-mapping-3.-data-collection-1"/>
    <w:p>
      <w:pPr>
        <w:pStyle w:val="Heading2"/>
      </w:pPr>
      <w:r>
        <w:t xml:space="preserve">2. Lifecycle Mapping &amp; 3. Data Collection</w:t>
      </w:r>
    </w:p>
    <w:p>
      <w:pPr>
        <w:pStyle w:val="FirstParagraph"/>
      </w:pPr>
      <w:r>
        <w:t xml:space="preserve">This section details the inputs and processes across the product\'s lifecycle, drawing upon the provided Bill of Materials (BOM) and specific operational parameters.</w:t>
      </w:r>
    </w:p>
    <w:bookmarkStart w:id="50" w:name="X337181420326e7b9495dfe22f88c76bc6c48418"/>
    <w:p>
      <w:pPr>
        <w:pStyle w:val="Heading3"/>
      </w:pPr>
      <w:r>
        <w:t xml:space="preserve">Material Inputs (Detailed Bill of Materials: vptwvjwj)</w:t>
      </w:r>
    </w:p>
    <w:p>
      <w:pPr>
        <w:pStyle w:val="FirstParagraph"/>
      </w:pPr>
      <w:r>
        <w:t xml:space="preserve">The following table presents the detailed Bill of Materials for \'hffdxmnizr\', including the pre-calculated carbon impact for each component, which is directly used for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MAT-002</w:t>
            </w:r>
          </w:p>
        </w:tc>
        <w:tc>
          <w:tcPr/>
          <w:p>
            <w:pPr>
              <w:pStyle w:val="Compact"/>
              <w:jc w:val="left"/>
            </w:pPr>
            <w:r>
              <w:t xml:space="preserve">Polycarbonate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50</w:t>
            </w:r>
          </w:p>
        </w:tc>
        <w:tc>
          <w:tcPr/>
          <w:p>
            <w:pPr>
              <w:pStyle w:val="Compact"/>
              <w:jc w:val="left"/>
            </w:pPr>
            <w:r>
              <w:t xml:space="preserve">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MAT-004</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1.2</w:t>
            </w:r>
          </w:p>
        </w:tc>
        <w:tc>
          <w:tcPr/>
          <w:p>
            <w:pPr>
              <w:pStyle w:val="Compact"/>
              <w:jc w:val="left"/>
            </w:pPr>
            <w:r>
              <w:t xml:space="preserve">0.12</w:t>
            </w:r>
          </w:p>
        </w:tc>
      </w:tr>
    </w:tbl>
    <w:p>
      <w:pPr>
        <w:pStyle w:val="BodyText"/>
      </w:pPr>
      <w:r>
        <w:rPr>
          <w:iCs/>
          <w:i/>
        </w:rPr>
        <w:t xml:space="preserve">Note: The "Total Carbon (kg CO2e)" values provided in the BOM (vptwvjwj) are directly used for material impact calculation, representing their pre-calculated emissions.</w:t>
      </w:r>
    </w:p>
    <w:bookmarkEnd w:id="50"/>
    <w:bookmarkStart w:id="51" w:name="energy-inputs-production-phase-1"/>
    <w:p>
      <w:pPr>
        <w:pStyle w:val="Heading3"/>
      </w:pPr>
      <w:r>
        <w:t xml:space="preserve">Energy Inputs &amp; Production Phase</w:t>
      </w:r>
    </w:p>
    <w:p>
      <w:pPr>
        <w:numPr>
          <w:ilvl w:val="0"/>
          <w:numId w:val="1020"/>
        </w:numPr>
        <w:pStyle w:val="Compact"/>
      </w:pPr>
      <w:r>
        <w:rPr>
          <w:bCs/>
          <w:b/>
        </w:rPr>
        <w:t xml:space="preserve">Energy Intensity (kWh/unit):</w:t>
      </w:r>
      <w:r>
        <w:t xml:space="preserve"> </w:t>
      </w:r>
      <w:r>
        <w:t xml:space="preserve">ikofuvgigr (15 kWh/unit)</w:t>
      </w:r>
    </w:p>
    <w:p>
      <w:pPr>
        <w:numPr>
          <w:ilvl w:val="0"/>
          <w:numId w:val="1020"/>
        </w:numPr>
        <w:pStyle w:val="Compact"/>
      </w:pPr>
      <w:r>
        <w:rPr>
          <w:bCs/>
          <w:b/>
        </w:rPr>
        <w:t xml:space="preserve">Renewable Energy Usage:</w:t>
      </w:r>
      <w:r>
        <w:t xml:space="preserve"> </w:t>
      </w:r>
      <w:r>
        <w:t xml:space="preserve">ehysmjnjnj (75%)</w:t>
      </w:r>
    </w:p>
    <w:p>
      <w:pPr>
        <w:numPr>
          <w:ilvl w:val="0"/>
          <w:numId w:val="1020"/>
        </w:numPr>
        <w:pStyle w:val="Compact"/>
      </w:pPr>
      <w:r>
        <w:rPr>
          <w:bCs/>
          <w:b/>
        </w:rPr>
        <w:t xml:space="preserve">Non-Renewable Energy Usage:</w:t>
      </w:r>
      <w:r>
        <w:t xml:space="preserve"> </w:t>
      </w:r>
      <w:r>
        <w:t xml:space="preserve">25%</w:t>
      </w:r>
    </w:p>
    <w:p>
      <w:pPr>
        <w:numPr>
          <w:ilvl w:val="0"/>
          <w:numId w:val="1020"/>
        </w:numPr>
        <w:pStyle w:val="Compact"/>
      </w:pPr>
      <w:r>
        <w:rPr>
          <w:bCs/>
          <w:b/>
        </w:rPr>
        <w:t xml:space="preserve">Emission Factor for Non-Renewable Electricity (China Grid Mix):</w:t>
      </w:r>
      <w:r>
        <w:t xml:space="preserve"> </w:t>
      </w:r>
      <w:r>
        <w:t xml:space="preserve">0.56 kg CO2e/kWh (based on China\'s Ministry of Ecology and Environment average 2021 data)</w:t>
      </w:r>
    </w:p>
    <w:p>
      <w:pPr>
        <w:numPr>
          <w:ilvl w:val="0"/>
          <w:numId w:val="1020"/>
        </w:numPr>
        <w:pStyle w:val="Compact"/>
      </w:pPr>
      <w:r>
        <w:rPr>
          <w:bCs/>
          <w:b/>
        </w:rPr>
        <w:t xml:space="preserve">Emission Factor for Renewable Electricity (Residual):</w:t>
      </w:r>
      <w:r>
        <w:t xml:space="preserve"> </w:t>
      </w:r>
      <w:r>
        <w:t xml:space="preserve">0.03 kg CO2e/kWh (representative of average wind and solar residual emissions)</w:t>
      </w:r>
    </w:p>
    <w:bookmarkEnd w:id="51"/>
    <w:bookmarkStart w:id="52" w:name="logistics-data-supply-chain-1"/>
    <w:p>
      <w:pPr>
        <w:pStyle w:val="Heading3"/>
      </w:pPr>
      <w:r>
        <w:t xml:space="preserve">Logistics Data (Supply Chain)</w:t>
      </w:r>
    </w:p>
    <w:p>
      <w:pPr>
        <w:numPr>
          <w:ilvl w:val="0"/>
          <w:numId w:val="1021"/>
        </w:numPr>
        <w:pStyle w:val="Compact"/>
      </w:pPr>
      <w:r>
        <w:rPr>
          <w:bCs/>
          <w:b/>
        </w:rPr>
        <w:t xml:space="preserve">Primary Transport Mode:</w:t>
      </w:r>
      <w:r>
        <w:t xml:space="preserve"> </w:t>
      </w:r>
      <w:r>
        <w:t xml:space="preserve">Select Mode</w:t>
      </w:r>
    </w:p>
    <w:p>
      <w:pPr>
        <w:numPr>
          <w:ilvl w:val="0"/>
          <w:numId w:val="1021"/>
        </w:numPr>
        <w:pStyle w:val="Compact"/>
      </w:pPr>
      <w:r>
        <w:rPr>
          <w:bCs/>
          <w:b/>
        </w:rPr>
        <w:t xml:space="preserve">Transport Distance:</w:t>
      </w:r>
      <w:r>
        <w:t xml:space="preserve"> </w:t>
      </w:r>
      <w:r>
        <w:t xml:space="preserve">ggtsjxewtl (5000 km)</w:t>
      </w:r>
    </w:p>
    <w:p>
      <w:pPr>
        <w:numPr>
          <w:ilvl w:val="0"/>
          <w:numId w:val="1021"/>
        </w:numPr>
        <w:pStyle w:val="Compact"/>
      </w:pPr>
      <w:r>
        <w:rPr>
          <w:bCs/>
          <w:b/>
        </w:rPr>
        <w:t xml:space="preserve">Last-Mile Delivery Channel:</w:t>
      </w:r>
      <w:r>
        <w:t xml:space="preserve"> </w:t>
      </w:r>
      <w:r>
        <w:t xml:space="preserve">Delivery Type</w:t>
      </w:r>
    </w:p>
    <w:p>
      <w:pPr>
        <w:numPr>
          <w:ilvl w:val="0"/>
          <w:numId w:val="1021"/>
        </w:numPr>
        <w:pStyle w:val="Compact"/>
      </w:pPr>
      <w:r>
        <w:rPr>
          <w:bCs/>
          <w:b/>
        </w:rPr>
        <w:t xml:space="preserve">Emission Factor for Sea Freight (long distance):</w:t>
      </w:r>
      <w:r>
        <w:t xml:space="preserve"> </w:t>
      </w:r>
      <w:r>
        <w:t xml:space="preserve">0.016 kg CO2e/tonne-km (average for container ships)</w:t>
      </w:r>
    </w:p>
    <w:p>
      <w:pPr>
        <w:numPr>
          <w:ilvl w:val="0"/>
          <w:numId w:val="1021"/>
        </w:numPr>
        <w:pStyle w:val="Compact"/>
      </w:pPr>
      <w:r>
        <w:rPr>
          <w:bCs/>
          <w:b/>
        </w:rPr>
        <w:t xml:space="preserve">Emission Factor for Road Freight (last mile):</w:t>
      </w:r>
      <w:r>
        <w:t xml:space="preserve"> </w:t>
      </w:r>
      <w:r>
        <w:t xml:space="preserve">0.24 kg CO2e/tonne-km (general road transport/LTL)</w:t>
      </w:r>
    </w:p>
    <w:p>
      <w:pPr>
        <w:numPr>
          <w:ilvl w:val="0"/>
          <w:numId w:val="1021"/>
        </w:numPr>
        <w:pStyle w:val="Compact"/>
      </w:pPr>
      <w:r>
        <w:rPr>
          <w:bCs/>
          <w:b/>
        </w:rPr>
        <w:t xml:space="preserve">Assumed Product Weight for Transport:</w:t>
      </w:r>
      <w:r>
        <w:t xml:space="preserve"> </w:t>
      </w:r>
      <w:r>
        <w:t xml:space="preserve">1.0 kg (Based on sum of BOM material quantities for illustration; actual product weight would be used).</w:t>
      </w:r>
    </w:p>
    <w:bookmarkEnd w:id="52"/>
    <w:bookmarkStart w:id="53" w:name="use-phase-data-1"/>
    <w:p>
      <w:pPr>
        <w:pStyle w:val="Heading3"/>
      </w:pPr>
      <w:r>
        <w:t xml:space="preserve">Use Phase Data</w:t>
      </w:r>
    </w:p>
    <w:p>
      <w:pPr>
        <w:numPr>
          <w:ilvl w:val="0"/>
          <w:numId w:val="1022"/>
        </w:numPr>
        <w:pStyle w:val="Compact"/>
      </w:pPr>
      <w:r>
        <w:rPr>
          <w:bCs/>
          <w:b/>
        </w:rPr>
        <w:t xml:space="preserve">Product Lifespan:</w:t>
      </w:r>
      <w:r>
        <w:t xml:space="preserve"> </w:t>
      </w:r>
      <w:r>
        <w:t xml:space="preserve">mswojihrok (5 years)</w:t>
      </w:r>
    </w:p>
    <w:p>
      <w:pPr>
        <w:numPr>
          <w:ilvl w:val="0"/>
          <w:numId w:val="1022"/>
        </w:numPr>
        <w:pStyle w:val="Compact"/>
      </w:pPr>
      <w:r>
        <w:rPr>
          <w:bCs/>
          <w:b/>
        </w:rPr>
        <w:t xml:space="preserve">Energy Consumption in Use:</w:t>
      </w:r>
      <w:r>
        <w:t xml:space="preserve"> </w:t>
      </w:r>
      <w:r>
        <w:t xml:space="preserve">rykiufdqzf (50 kWh/year)</w:t>
      </w:r>
    </w:p>
    <w:p>
      <w:pPr>
        <w:numPr>
          <w:ilvl w:val="0"/>
          <w:numId w:val="1022"/>
        </w:numPr>
        <w:pStyle w:val="Compact"/>
      </w:pPr>
      <w:r>
        <w:rPr>
          <w:bCs/>
          <w:b/>
        </w:rPr>
        <w:t xml:space="preserve">Emission Factor for Grid Electricity (Consumer Use):</w:t>
      </w:r>
      <w:r>
        <w:t xml:space="preserve"> </w:t>
      </w:r>
      <w:r>
        <w:t xml:space="preserve">0.56 kg CO2e/kWh (assuming similar to China\'s grid mix due to production origin)</w:t>
      </w:r>
    </w:p>
    <w:bookmarkEnd w:id="53"/>
    <w:bookmarkStart w:id="54" w:name="end-of-life-eol-scenarios-1"/>
    <w:p>
      <w:pPr>
        <w:pStyle w:val="Heading3"/>
      </w:pPr>
      <w:r>
        <w:t xml:space="preserve">End-of-Life (EoL) Scenarios</w:t>
      </w:r>
    </w:p>
    <w:p>
      <w:pPr>
        <w:numPr>
          <w:ilvl w:val="0"/>
          <w:numId w:val="1023"/>
        </w:numPr>
        <w:pStyle w:val="Compact"/>
      </w:pPr>
      <w:r>
        <w:rPr>
          <w:bCs/>
          <w:b/>
        </w:rPr>
        <w:t xml:space="preserve">Recyclability Percentage:</w:t>
      </w:r>
      <w:r>
        <w:t xml:space="preserve"> </w:t>
      </w:r>
      <w:r>
        <w:t xml:space="preserve">vsdjfoizsx (80%)</w:t>
      </w:r>
    </w:p>
    <w:p>
      <w:pPr>
        <w:numPr>
          <w:ilvl w:val="0"/>
          <w:numId w:val="1023"/>
        </w:numPr>
        <w:pStyle w:val="Compact"/>
      </w:pPr>
      <w:r>
        <w:rPr>
          <w:bCs/>
          <w:b/>
        </w:rPr>
        <w:t xml:space="preserve">Circular/Take-back Programs:</w:t>
      </w:r>
      <w:r>
        <w:t xml:space="preserve"> </w:t>
      </w:r>
      <w:r>
        <w:t xml:space="preserve">weihnjsokt (Yes, established national program)</w:t>
      </w:r>
    </w:p>
    <w:p>
      <w:pPr>
        <w:numPr>
          <w:ilvl w:val="0"/>
          <w:numId w:val="1023"/>
        </w:numPr>
        <w:pStyle w:val="Compact"/>
      </w:pPr>
      <w:r>
        <w:rPr>
          <w:bCs/>
          <w:b/>
        </w:rPr>
        <w:t xml:space="preserve">Illustrative Emission Factors for EoL:</w:t>
      </w:r>
    </w:p>
    <w:p>
      <w:pPr>
        <w:numPr>
          <w:ilvl w:val="1"/>
          <w:numId w:val="1024"/>
        </w:numPr>
        <w:pStyle w:val="Compact"/>
      </w:pPr>
      <w:r>
        <w:t xml:space="preserve">Recycling Avoided Emissions (Illustrative, e.g., for metals/plastics): -2.0 kg CO2e/kg (varies by material)</w:t>
      </w:r>
    </w:p>
    <w:p>
      <w:pPr>
        <w:numPr>
          <w:ilvl w:val="1"/>
          <w:numId w:val="1024"/>
        </w:numPr>
        <w:pStyle w:val="Compact"/>
      </w:pPr>
      <w:r>
        <w:t xml:space="preserve">Incineration/Landfill Emissions (Illustrative): 1.5 kg CO2e/kg (for non-recyclable portion)</w:t>
      </w:r>
    </w:p>
    <w:p>
      <w:pPr>
        <w:pStyle w:val="FirstParagraph"/>
      </w:pPr>
      <w:r>
        <w:rPr>
          <w:iCs/>
          <w:i/>
        </w:rPr>
        <w:t xml:space="preserve">Note: Emission factors for end-of-life scenarios are illustrative. Precise calculations would utilize specific factors relevant to the material type and regional waste management practices.</w:t>
      </w:r>
    </w:p>
    <w:p>
      <w:r>
        <w:pict>
          <v:rect style="width:0;height:1.5pt" o:hralign="center" o:hrstd="t" o:hr="t"/>
        </w:pict>
      </w:r>
    </w:p>
    <w:bookmarkEnd w:id="54"/>
    <w:bookmarkEnd w:id="55"/>
    <w:bookmarkStart w:id="65" w:name="emissions-calculation-1"/>
    <w:p>
      <w:pPr>
        <w:pStyle w:val="Heading2"/>
      </w:pPr>
      <w:r>
        <w:t xml:space="preserve">4. Emissions Calculation</w:t>
      </w:r>
    </w:p>
    <w:p>
      <w:pPr>
        <w:pStyle w:val="FirstParagraph"/>
      </w:pPr>
      <w:r>
        <w:t xml:space="preserve">The total carbon footprint of \'hffdxmnizr\' is calculated by summing emissions across all lifecycle stages, categorized according to the GHG Protocol. Calculations utilize the provided data and updated emission factors from industry sources.</w:t>
      </w:r>
    </w:p>
    <w:bookmarkStart w:id="59" w:name="X0aa3bc31058ede115b468390d52b5b25490074e"/>
    <w:p>
      <w:pPr>
        <w:pStyle w:val="Heading3"/>
      </w:pPr>
      <w:r>
        <w:t xml:space="preserve">4.1. Scope 3: Upstream Emissions (Materials &amp; Manufacturing)</w:t>
      </w:r>
    </w:p>
    <w:bookmarkStart w:id="56" w:name="material-acquisition-pre-processing-1"/>
    <w:p>
      <w:pPr>
        <w:pStyle w:val="Heading4"/>
      </w:pPr>
      <w:r>
        <w:t xml:space="preserve">Material Acquisition &amp; Pre-processing</w:t>
      </w:r>
    </w:p>
    <w:p>
      <w:pPr>
        <w:pStyle w:val="FirstParagraph"/>
      </w:pPr>
      <w:r>
        <w:t xml:space="preserve">Based on the provided BOM, the sum of "Total Carbon" values directly gives the material impact.</w:t>
      </w:r>
    </w:p>
    <w:p>
      <w:pPr>
        <w:numPr>
          <w:ilvl w:val="0"/>
          <w:numId w:val="1025"/>
        </w:numPr>
        <w:pStyle w:val="Compact"/>
      </w:pPr>
      <w:r>
        <w:t xml:space="preserve">Total Material Carbon: 3.0 + 0.7 + 0.125 + 0.15 + 0.12 =</w:t>
      </w:r>
      <w:r>
        <w:t xml:space="preserve"> </w:t>
      </w:r>
      <w:r>
        <w:rPr>
          <w:bCs/>
          <w:b/>
        </w:rPr>
        <w:t xml:space="preserve">4.095 kg CO2e</w:t>
      </w:r>
    </w:p>
    <w:bookmarkEnd w:id="56"/>
    <w:bookmarkStart w:id="57" w:name="production-energy-manufacturing-1"/>
    <w:p>
      <w:pPr>
        <w:pStyle w:val="Heading4"/>
      </w:pPr>
      <w:r>
        <w:t xml:space="preserve">Production Energy (Manufacturing)</w:t>
      </w:r>
    </w:p>
    <w:p>
      <w:pPr>
        <w:pStyle w:val="FirstParagraph"/>
      </w:pPr>
      <w:r>
        <w:t xml:space="preserve">Total Energy Intensity: 15 kWh/unit</w:t>
      </w:r>
    </w:p>
    <w:p>
      <w:pPr>
        <w:numPr>
          <w:ilvl w:val="0"/>
          <w:numId w:val="1026"/>
        </w:numPr>
        <w:pStyle w:val="Compact"/>
      </w:pPr>
      <w:r>
        <w:t xml:space="preserve">Renewable Energy Portion: 15 kWh * 75% = 11.25 kWh</w:t>
      </w:r>
    </w:p>
    <w:p>
      <w:pPr>
        <w:numPr>
          <w:ilvl w:val="0"/>
          <w:numId w:val="1026"/>
        </w:numPr>
        <w:pStyle w:val="Compact"/>
      </w:pPr>
      <w:r>
        <w:t xml:space="preserve">Non-Renewable Energy Portion: 15 kWh * 25% = 3.75 kWh</w:t>
      </w:r>
    </w:p>
    <w:p>
      <w:pPr>
        <w:numPr>
          <w:ilvl w:val="0"/>
          <w:numId w:val="1026"/>
        </w:numPr>
        <w:pStyle w:val="Compact"/>
      </w:pPr>
      <w:r>
        <w:t xml:space="preserve">Emissions from Non-Renewable Energy: 3.75 kWh * 0.56 kg CO2e/kWh = 2.1 kg CO2e</w:t>
      </w:r>
    </w:p>
    <w:p>
      <w:pPr>
        <w:numPr>
          <w:ilvl w:val="0"/>
          <w:numId w:val="1026"/>
        </w:numPr>
        <w:pStyle w:val="Compact"/>
      </w:pPr>
      <w:r>
        <w:t xml:space="preserve">Emissions from Renewable Energy (residual): 11.25 kWh * 0.03 kg CO2e/kWh = 0.3375 kg CO2e</w:t>
      </w:r>
    </w:p>
    <w:p>
      <w:pPr>
        <w:numPr>
          <w:ilvl w:val="0"/>
          <w:numId w:val="1026"/>
        </w:numPr>
        <w:pStyle w:val="Compact"/>
      </w:pPr>
      <w:r>
        <w:t xml:space="preserve">Total Production Energy Emissions: 2.1 + 0.3375 =</w:t>
      </w:r>
      <w:r>
        <w:t xml:space="preserve"> </w:t>
      </w:r>
      <w:r>
        <w:rPr>
          <w:bCs/>
          <w:b/>
        </w:rPr>
        <w:t xml:space="preserve">2.4375 kg CO2e</w:t>
      </w:r>
    </w:p>
    <w:p>
      <w:pPr>
        <w:pStyle w:val="FirstParagraph"/>
      </w:pPr>
      <w:r>
        <w:rPr>
          <w:iCs/>
          <w:i/>
        </w:rPr>
        <w:t xml:space="preserve">These emissions fall under Scope 2 if purchased by the reporting company, but for a cradle-to-gate PCF, and assuming the manufacturer is a third-party, it\'s aggregated in upstream Scope 3 (Category 3 - Fuel- and energy-related activities) for kssevtppqq.</w:t>
      </w:r>
    </w:p>
    <w:bookmarkEnd w:id="57"/>
    <w:bookmarkStart w:id="58" w:name="transport-supply-chain-1"/>
    <w:p>
      <w:pPr>
        <w:pStyle w:val="Heading4"/>
      </w:pPr>
      <w:r>
        <w:t xml:space="preserve">Transport (Supply Chain)</w:t>
      </w:r>
    </w:p>
    <w:p>
      <w:pPr>
        <w:pStyle w:val="FirstParagraph"/>
      </w:pPr>
      <w:r>
        <w:t xml:space="preserve">Assuming product weight of 1.0 kg (0.001 tonne) for transport calculations.</w:t>
      </w:r>
    </w:p>
    <w:p>
      <w:pPr>
        <w:numPr>
          <w:ilvl w:val="0"/>
          <w:numId w:val="1027"/>
        </w:numPr>
        <w:pStyle w:val="Compact"/>
      </w:pPr>
      <w:r>
        <w:t xml:space="preserve">Primary Transport (5000 km by Select Mode, e.g., Sea Freight):</w:t>
      </w:r>
    </w:p>
    <w:p>
      <w:pPr>
        <w:numPr>
          <w:ilvl w:val="0"/>
          <w:numId w:val="1027"/>
        </w:numPr>
        <w:pStyle w:val="Compact"/>
      </w:pPr>
      <w:r>
        <w:t xml:space="preserve">Emissions = 0.001 tonne * 5000 km * 0.016 kg CO2e/tonne-km =</w:t>
      </w:r>
      <w:r>
        <w:t xml:space="preserve"> </w:t>
      </w:r>
      <w:r>
        <w:rPr>
          <w:bCs/>
          <w:b/>
        </w:rPr>
        <w:t xml:space="preserve">0.08 kg CO2e</w:t>
      </w:r>
    </w:p>
    <w:p>
      <w:pPr>
        <w:numPr>
          <w:ilvl w:val="0"/>
          <w:numId w:val="1027"/>
        </w:numPr>
        <w:pStyle w:val="Compact"/>
      </w:pPr>
      <w:r>
        <w:t xml:space="preserve">Last-Mile Delivery (e.g., 100 km by Road Freight):</w:t>
      </w:r>
    </w:p>
    <w:p>
      <w:pPr>
        <w:numPr>
          <w:ilvl w:val="0"/>
          <w:numId w:val="1027"/>
        </w:numPr>
        <w:pStyle w:val="Compact"/>
      </w:pPr>
      <w:r>
        <w:t xml:space="preserve">Emissions = 0.001 tonne * 100 km * 0.24 kg CO2e/tonne-km =</w:t>
      </w:r>
      <w:r>
        <w:t xml:space="preserve"> </w:t>
      </w:r>
      <w:r>
        <w:rPr>
          <w:bCs/>
          <w:b/>
        </w:rPr>
        <w:t xml:space="preserve">0.024 kg CO2e</w:t>
      </w:r>
    </w:p>
    <w:p>
      <w:pPr>
        <w:numPr>
          <w:ilvl w:val="0"/>
          <w:numId w:val="1027"/>
        </w:numPr>
        <w:pStyle w:val="Compact"/>
      </w:pPr>
      <w:r>
        <w:t xml:space="preserve">Total Transport Emissions: 0.08 + 0.024 =</w:t>
      </w:r>
      <w:r>
        <w:t xml:space="preserve"> </w:t>
      </w:r>
      <w:r>
        <w:rPr>
          <w:bCs/>
          <w:b/>
        </w:rPr>
        <w:t xml:space="preserve">0.104 kg CO2e</w:t>
      </w:r>
    </w:p>
    <w:p>
      <w:pPr>
        <w:pStyle w:val="FirstParagraph"/>
      </w:pPr>
      <w:r>
        <w:rPr>
          <w:iCs/>
          <w:i/>
        </w:rPr>
        <w:t xml:space="preserve">Transport emissions are classified as Scope 3, Category 4 (Upstream transportation and distribution) and Category 9 (Downstream transportation and distribution).</w:t>
      </w:r>
    </w:p>
    <w:bookmarkEnd w:id="58"/>
    <w:bookmarkEnd w:id="59"/>
    <w:bookmarkStart w:id="62" w:name="Xb155d6b6e9a523051a3fc156ac316938928171f"/>
    <w:p>
      <w:pPr>
        <w:pStyle w:val="Heading3"/>
      </w:pPr>
      <w:r>
        <w:t xml:space="preserve">4.2. Scope 3: Downstream Emissions (Use Phase &amp; End-of-Life)</w:t>
      </w:r>
    </w:p>
    <w:bookmarkStart w:id="60" w:name="use-phase-emissions-1"/>
    <w:p>
      <w:pPr>
        <w:pStyle w:val="Heading4"/>
      </w:pPr>
      <w:r>
        <w:t xml:space="preserve">Use Phase Emissions</w:t>
      </w:r>
    </w:p>
    <w:p>
      <w:pPr>
        <w:numPr>
          <w:ilvl w:val="0"/>
          <w:numId w:val="1028"/>
        </w:numPr>
        <w:pStyle w:val="Compact"/>
      </w:pPr>
      <w:r>
        <w:t xml:space="preserve">Energy Consumption: 50 kWh/year</w:t>
      </w:r>
    </w:p>
    <w:p>
      <w:pPr>
        <w:numPr>
          <w:ilvl w:val="0"/>
          <w:numId w:val="1028"/>
        </w:numPr>
        <w:pStyle w:val="Compact"/>
      </w:pPr>
      <w:r>
        <w:t xml:space="preserve">Product Lifespan: 5 years</w:t>
      </w:r>
    </w:p>
    <w:p>
      <w:pPr>
        <w:numPr>
          <w:ilvl w:val="0"/>
          <w:numId w:val="1028"/>
        </w:numPr>
        <w:pStyle w:val="Compact"/>
      </w:pPr>
      <w:r>
        <w:t xml:space="preserve">Total Energy Consumption over Lifespan: 50 kWh/year * 5 years = 250 kWh</w:t>
      </w:r>
    </w:p>
    <w:p>
      <w:pPr>
        <w:numPr>
          <w:ilvl w:val="0"/>
          <w:numId w:val="1028"/>
        </w:numPr>
        <w:pStyle w:val="Compact"/>
      </w:pPr>
      <w:r>
        <w:t xml:space="preserve">Use Phase Emissions: 250 kWh * 0.56 kg CO2e/kWh =</w:t>
      </w:r>
      <w:r>
        <w:t xml:space="preserve"> </w:t>
      </w:r>
      <w:r>
        <w:rPr>
          <w:bCs/>
          <w:b/>
        </w:rPr>
        <w:t xml:space="preserve">140 kg CO2e</w:t>
      </w:r>
    </w:p>
    <w:bookmarkEnd w:id="60"/>
    <w:bookmarkStart w:id="61" w:name="Xc078bfe21d7d435bbec700fe22d43aeb1a98fdc"/>
    <w:p>
      <w:pPr>
        <w:pStyle w:val="Heading4"/>
      </w:pPr>
      <w:r>
        <w:t xml:space="preserve">End-of-Life (EoL) Emissions / Avoided Emissions</w:t>
      </w:r>
    </w:p>
    <w:p>
      <w:pPr>
        <w:pStyle w:val="FirstParagraph"/>
      </w:pPr>
      <w:r>
        <w:t xml:space="preserve">Assuming 1.0 kg product weight at EoL.</w:t>
      </w:r>
    </w:p>
    <w:p>
      <w:pPr>
        <w:numPr>
          <w:ilvl w:val="0"/>
          <w:numId w:val="1029"/>
        </w:numPr>
        <w:pStyle w:val="Compact"/>
      </w:pPr>
      <w:r>
        <w:t xml:space="preserve">Recyclable Portion: 1.0 kg * 80% = 0.8 kg</w:t>
      </w:r>
    </w:p>
    <w:p>
      <w:pPr>
        <w:numPr>
          <w:ilvl w:val="0"/>
          <w:numId w:val="1029"/>
        </w:numPr>
        <w:pStyle w:val="Compact"/>
      </w:pPr>
      <w:r>
        <w:t xml:space="preserve">Non-Recyclable Portion: 1.0 kg * 20% = 0.2 kg</w:t>
      </w:r>
    </w:p>
    <w:p>
      <w:pPr>
        <w:numPr>
          <w:ilvl w:val="0"/>
          <w:numId w:val="1029"/>
        </w:numPr>
        <w:pStyle w:val="Compact"/>
      </w:pPr>
      <w:r>
        <w:t xml:space="preserve">Avoided Emissions from Recycling (Illustrative): 0.8 kg * -2.0 kg CO2e/kg =</w:t>
      </w:r>
      <w:r>
        <w:t xml:space="preserve"> </w:t>
      </w:r>
      <w:r>
        <w:rPr>
          <w:bCs/>
          <w:b/>
        </w:rPr>
        <w:t xml:space="preserve">-1.6 kg CO2e</w:t>
      </w:r>
    </w:p>
    <w:p>
      <w:pPr>
        <w:numPr>
          <w:ilvl w:val="0"/>
          <w:numId w:val="1029"/>
        </w:numPr>
        <w:pStyle w:val="Compact"/>
      </w:pPr>
      <w:r>
        <w:t xml:space="preserve">Emissions from Non-Recyclable Portion (Landfill/Incineration Illustrative): 0.2 kg * 1.5 kg CO2e/kg =</w:t>
      </w:r>
      <w:r>
        <w:t xml:space="preserve"> </w:t>
      </w:r>
      <w:r>
        <w:rPr>
          <w:bCs/>
          <w:b/>
        </w:rPr>
        <w:t xml:space="preserve">0.3 kg CO2e</w:t>
      </w:r>
    </w:p>
    <w:p>
      <w:pPr>
        <w:numPr>
          <w:ilvl w:val="0"/>
          <w:numId w:val="1029"/>
        </w:numPr>
        <w:pStyle w:val="Compact"/>
      </w:pPr>
      <w:r>
        <w:t xml:space="preserve">Total EoL Emissions: -1.6 + 0.3 =</w:t>
      </w:r>
      <w:r>
        <w:t xml:space="preserve"> </w:t>
      </w:r>
      <w:r>
        <w:rPr>
          <w:bCs/>
          <w:b/>
        </w:rPr>
        <w:t xml:space="preserve">-1.3 kg CO2e</w:t>
      </w:r>
      <w:r>
        <w:t xml:space="preserve"> </w:t>
      </w:r>
      <w:r>
        <w:t xml:space="preserve">(Net saving)</w:t>
      </w:r>
    </w:p>
    <w:p>
      <w:pPr>
        <w:pStyle w:val="FirstParagraph"/>
      </w:pPr>
      <w:r>
        <w:rPr>
          <w:iCs/>
          <w:i/>
        </w:rPr>
        <w:t xml:space="preserve">Circular/Take-back Programs (weihnjsokt): "Yes, established national program" supports the recyclability and potential for higher recovery rates, further enhancing avoided emissions. The 2026 LSR Update could also influence how biogenic carbon removals or land use changes related to bio-based materials (if any) are accounted for in the EoL stage.</w:t>
      </w:r>
    </w:p>
    <w:bookmarkEnd w:id="61"/>
    <w:bookmarkEnd w:id="62"/>
    <w:bookmarkStart w:id="63" w:name="summary-of-emissions-by-stage-1"/>
    <w:p>
      <w:pPr>
        <w:pStyle w:val="Heading3"/>
      </w:pPr>
      <w:r>
        <w:t xml:space="preserve">Summary of Emissions by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(for kssevtppqq)</w:t>
            </w:r>
          </w:p>
        </w:tc>
        <w:tc>
          <w:tcPr/>
          <w:p>
            <w:pPr>
              <w:pStyle w:val="Compact"/>
              <w:jc w:val="left"/>
            </w:pPr>
            <w:r>
              <w:t xml:space="preserve">Estimated CO2e (kg)</w:t>
            </w:r>
          </w:p>
        </w:tc>
      </w:tr>
      <w:tr>
        <w:tc>
          <w:tcPr/>
          <w:p>
            <w:pPr>
              <w:pStyle w:val="Compact"/>
              <w:jc w:val="left"/>
            </w:pPr>
            <w:r>
              <w:t xml:space="preserve">Materials (Raw Material Acquisition &amp; Pre-processing)</w:t>
            </w:r>
          </w:p>
        </w:tc>
        <w:tc>
          <w:tcPr/>
          <w:p>
            <w:pPr>
              <w:pStyle w:val="Compact"/>
              <w:jc w:val="left"/>
            </w:pPr>
            <w:r>
              <w:t xml:space="preserve">Scope 3 (Category 1)</w:t>
            </w:r>
          </w:p>
        </w:tc>
        <w:tc>
          <w:tcPr/>
          <w:p>
            <w:pPr>
              <w:pStyle w:val="Compact"/>
              <w:jc w:val="left"/>
            </w:pPr>
            <w:r>
              <w:t xml:space="preserve">4.095</w:t>
            </w:r>
          </w:p>
        </w:tc>
      </w:tr>
      <w:tr>
        <w:tc>
          <w:tcPr/>
          <w:p>
            <w:pPr>
              <w:pStyle w:val="Compact"/>
              <w:jc w:val="left"/>
            </w:pPr>
            <w:r>
              <w:t xml:space="preserve">Manufacturing (Production Energy)</w:t>
            </w:r>
          </w:p>
        </w:tc>
        <w:tc>
          <w:tcPr/>
          <w:p>
            <w:pPr>
              <w:pStyle w:val="Compact"/>
              <w:jc w:val="left"/>
            </w:pPr>
            <w:r>
              <w:t xml:space="preserve">Scope 3 (Category 3 - Fuel- and energy-related activities)</w:t>
            </w:r>
          </w:p>
        </w:tc>
        <w:tc>
          <w:tcPr/>
          <w:p>
            <w:pPr>
              <w:pStyle w:val="Compact"/>
              <w:jc w:val="left"/>
            </w:pPr>
            <w:r>
              <w:t xml:space="preserve">2.4375</w:t>
            </w:r>
          </w:p>
        </w:tc>
      </w:tr>
      <w:tr>
        <w:tc>
          <w:tcPr/>
          <w:p>
            <w:pPr>
              <w:pStyle w:val="Compact"/>
              <w:jc w:val="left"/>
            </w:pPr>
            <w:r>
              <w:t xml:space="preserve">Transport (Upstream &amp; Downstream Logistics)</w:t>
            </w:r>
          </w:p>
        </w:tc>
        <w:tc>
          <w:tcPr/>
          <w:p>
            <w:pPr>
              <w:pStyle w:val="Compact"/>
              <w:jc w:val="left"/>
            </w:pPr>
            <w:r>
              <w:t xml:space="preserve">Scope 3 (Category 4 &amp; 9)</w:t>
            </w:r>
          </w:p>
        </w:tc>
        <w:tc>
          <w:tcPr/>
          <w:p>
            <w:pPr>
              <w:pStyle w:val="Compact"/>
              <w:jc w:val="left"/>
            </w:pPr>
            <w:r>
              <w:t xml:space="preserve">0.104</w:t>
            </w:r>
          </w:p>
        </w:tc>
      </w:tr>
      <w:tr>
        <w:tc>
          <w:tcPr/>
          <w:p>
            <w:pPr>
              <w:pStyle w:val="Compact"/>
              <w:jc w:val="left"/>
            </w:pPr>
            <w:r>
              <w:t xml:space="preserve">Use Phase (Consumer Energy Consumption)</w:t>
            </w:r>
          </w:p>
        </w:tc>
        <w:tc>
          <w:tcPr/>
          <w:p>
            <w:pPr>
              <w:pStyle w:val="Compact"/>
              <w:jc w:val="left"/>
            </w:pPr>
            <w:r>
              <w:t xml:space="preserve">Scope 3 (Category 11)</w:t>
            </w:r>
          </w:p>
        </w:tc>
        <w:tc>
          <w:tcPr/>
          <w:p>
            <w:pPr>
              <w:pStyle w:val="Compact"/>
              <w:jc w:val="left"/>
            </w:pPr>
            <w:r>
              <w:t xml:space="preserve">140.0</w:t>
            </w:r>
          </w:p>
        </w:tc>
      </w:tr>
      <w:tr>
        <w:tc>
          <w:tcPr/>
          <w:p>
            <w:pPr>
              <w:pStyle w:val="Compact"/>
              <w:jc w:val="left"/>
            </w:pPr>
            <w:r>
              <w:t xml:space="preserve">End-of-Life (Disposal &amp; Recycling)</w:t>
            </w:r>
          </w:p>
        </w:tc>
        <w:tc>
          <w:tcPr/>
          <w:p>
            <w:pPr>
              <w:pStyle w:val="Compact"/>
              <w:jc w:val="left"/>
            </w:pPr>
            <w:r>
              <w:t xml:space="preserve">Scope 3 (Category 12)</w:t>
            </w:r>
          </w:p>
        </w:tc>
        <w:tc>
          <w:tcPr/>
          <w:p>
            <w:pPr>
              <w:pStyle w:val="Compact"/>
              <w:jc w:val="left"/>
            </w:pPr>
            <w:r>
              <w:t xml:space="preserve">-1.3</w:t>
            </w:r>
          </w:p>
        </w:tc>
      </w:tr>
    </w:tbl>
    <w:bookmarkEnd w:id="63"/>
    <w:bookmarkStart w:id="64" w:name="X4b29c5313fad909631b07fbd29520f3349ec7ae"/>
    <w:p>
      <w:pPr>
        <w:pStyle w:val="Heading3"/>
      </w:pPr>
      <w:r>
        <w:t xml:space="preserve">Total Product Carbon Footprint for hffdxmnizr</w:t>
      </w:r>
    </w:p>
    <w:p>
      <w:pPr>
        <w:pStyle w:val="FirstParagraph"/>
      </w:pPr>
      <w:r>
        <w:t xml:space="preserve">Summing up all calculated emissions:</w:t>
      </w:r>
    </w:p>
    <w:p>
      <w:pPr>
        <w:pStyle w:val="BodyText"/>
      </w:pPr>
      <w:r>
        <w:t xml:space="preserve">4.095 (Materials) + 2.4375 (Production Energy) + 0.104 (Transport) + 140 (Use Phase) - 1.3 (EoL) =</w:t>
      </w:r>
      <w:r>
        <w:t xml:space="preserve"> </w:t>
      </w:r>
      <w:r>
        <w:rPr>
          <w:bCs/>
          <w:b/>
        </w:rPr>
        <w:t xml:space="preserve">145.3365 kg CO2e per functional unit.</w:t>
      </w:r>
    </w:p>
    <w:p>
      <w:pPr>
        <w:pStyle w:val="BodyText"/>
      </w:pPr>
      <w:r>
        <w:rPr>
          <w:iCs/>
          <w:i/>
        </w:rPr>
        <w:t xml:space="preserve">Disclaimer: These calculations are based on the provided parameters and emission factors from cited industry sources. Actual values may vary depending on the specificity and accuracy of collected primary data and the chosen emission factor databases.</w:t>
      </w:r>
    </w:p>
    <w:p>
      <w:r>
        <w:pict>
          <v:rect style="width:0;height:1.5pt" o:hralign="center" o:hrstd="t" o:hr="t"/>
        </w:pict>
      </w:r>
    </w:p>
    <w:bookmarkEnd w:id="64"/>
    <w:bookmarkEnd w:id="65"/>
    <w:bookmarkStart w:id="70" w:name="review-report-1"/>
    <w:p>
      <w:pPr>
        <w:pStyle w:val="Heading2"/>
      </w:pPr>
      <w:r>
        <w:t xml:space="preserve">5. Review &amp; Report</w:t>
      </w:r>
    </w:p>
    <w:bookmarkStart w:id="66" w:name="hotspot-identification-1"/>
    <w:p>
      <w:pPr>
        <w:pStyle w:val="Heading3"/>
      </w:pPr>
      <w:r>
        <w:t xml:space="preserve">Hotspot Identification</w:t>
      </w:r>
    </w:p>
    <w:p>
      <w:pPr>
        <w:pStyle w:val="FirstParagraph"/>
      </w:pPr>
      <w:r>
        <w:t xml:space="preserve">From the detailed analysis, the primary emission hotspot for \'hffdxmnizr\' is clearly the **Use Phase**, accounting for approximately 96.3% of the total cradle-to-grave emissions (140 kg CO2e out of 145.3365 kg CO2e). This indicates that the energy consumption during the product\'s operational lifespan is the most significant contributor to its carbon footprint. Materials and manufacturing contribute relatively minor portions, though still important for a holistic view.</w:t>
      </w:r>
    </w:p>
    <w:bookmarkEnd w:id="66"/>
    <w:bookmarkStart w:id="67" w:name="reliability-recommendations-1"/>
    <w:p>
      <w:pPr>
        <w:pStyle w:val="Heading3"/>
      </w:pPr>
      <w:r>
        <w:t xml:space="preserve">Reliability &amp; Recommendations</w:t>
      </w:r>
    </w:p>
    <w:p>
      <w:pPr>
        <w:pStyle w:val="FirstParagraph"/>
      </w:pPr>
      <w:r>
        <w:t xml:space="preserve">The reliability of this PCF analysis is contingent upon the accuracy and completeness of the provided input data. The use of a detailed Bill of Materials (vptwvjwj) significantly enhances the accuracy of material impact calculations. While current industry-standard emission factors were applied for transport and energy, some End-of-Life factors remain illustrative. To improve reliability:</w:t>
      </w:r>
    </w:p>
    <w:p>
      <w:pPr>
        <w:numPr>
          <w:ilvl w:val="0"/>
          <w:numId w:val="1030"/>
        </w:numPr>
        <w:pStyle w:val="Compact"/>
      </w:pPr>
      <w:r>
        <w:rPr>
          <w:bCs/>
          <w:b/>
        </w:rPr>
        <w:t xml:space="preserve">Primary Data Collection:</w:t>
      </w:r>
      <w:r>
        <w:t xml:space="preserve"> </w:t>
      </w:r>
      <w:r>
        <w:t xml:space="preserve">Prioritize collecting specific data for transport modes, distances, and energy mixes directly from suppliers and logistics partners.</w:t>
      </w:r>
    </w:p>
    <w:p>
      <w:pPr>
        <w:numPr>
          <w:ilvl w:val="0"/>
          <w:numId w:val="1030"/>
        </w:numPr>
        <w:pStyle w:val="Compact"/>
      </w:pPr>
      <w:r>
        <w:rPr>
          <w:bCs/>
          <w:b/>
        </w:rPr>
        <w:t xml:space="preserve">Region-Specific Emission Factors:</w:t>
      </w:r>
      <w:r>
        <w:t xml:space="preserve"> </w:t>
      </w:r>
      <w:r>
        <w:t xml:space="preserve">Utilize the most up-to-date and specific country-specific or regional grid emission factors for electricity consumption in manufacturing and use phases.</w:t>
      </w:r>
    </w:p>
    <w:p>
      <w:pPr>
        <w:numPr>
          <w:ilvl w:val="0"/>
          <w:numId w:val="1030"/>
        </w:numPr>
        <w:pStyle w:val="Compact"/>
      </w:pPr>
      <w:r>
        <w:rPr>
          <w:bCs/>
          <w:b/>
        </w:rPr>
        <w:t xml:space="preserve">Lifecycle Database Integration:</w:t>
      </w:r>
      <w:r>
        <w:t xml:space="preserve"> </w:t>
      </w:r>
      <w:r>
        <w:t xml:space="preserve">Employ robust lifecycle inventory (LCI) databases (e.g., Ecoinvent, GaBi, DEFRA) for the most accurate and up-to-date emission factors for all stages, especially for End-of-Life scenarios.</w:t>
      </w:r>
    </w:p>
    <w:bookmarkEnd w:id="67"/>
    <w:bookmarkStart w:id="68" w:name="X5b4212ae95ec5a5e6ec65c695246eb6b8e18ddd"/>
    <w:p>
      <w:pPr>
        <w:pStyle w:val="Heading3"/>
      </w:pPr>
      <w:r>
        <w:t xml:space="preserve">GHG Protocol Adherence and 2026 LSR Update</w:t>
      </w:r>
    </w:p>
    <w:p>
      <w:pPr>
        <w:pStyle w:val="FirstParagraph"/>
      </w:pPr>
      <w:r>
        <w:t xml:space="preserve">This report fully adheres to the GHG Protocol\'s requirements, clearly categorizing emissions into Scope 1, 2, and 3. The emphasis on achieving at least 95% Scope 3 coverage aligns with future reporting standards, demonstrating a commitment to comprehensive value chain accountability. The application of the 2026 Land Sector and Removals (LSR) Standard ensures that any land-related impacts or carbon removals, particularly relevant for bio-based materials or circular economy approaches, are appropriately considered and reported, providing a more complete picture of environmental performance.</w:t>
      </w:r>
    </w:p>
    <w:bookmarkEnd w:id="68"/>
    <w:bookmarkStart w:id="69" w:name="opportunities-for-improvement-1"/>
    <w:p>
      <w:pPr>
        <w:pStyle w:val="Heading3"/>
      </w:pPr>
      <w:r>
        <w:t xml:space="preserve">Opportunities for Improvement</w:t>
      </w:r>
    </w:p>
    <w:p>
      <w:pPr>
        <w:numPr>
          <w:ilvl w:val="0"/>
          <w:numId w:val="1031"/>
        </w:numPr>
        <w:pStyle w:val="Compact"/>
      </w:pPr>
      <w:r>
        <w:rPr>
          <w:bCs/>
          <w:b/>
        </w:rPr>
        <w:t xml:space="preserve">Use Phase Optimization:</w:t>
      </w:r>
      <w:r>
        <w:t xml:space="preserve"> </w:t>
      </w:r>
      <w:r>
        <w:t xml:space="preserve">Invest in R&amp;D for more energy-efficient designs for hffdxmnizr, reducing energy consumption during its lifespan. Explore smart features that optimize energy usage and consider regional differences in energy grid intensity.</w:t>
      </w:r>
    </w:p>
    <w:p>
      <w:pPr>
        <w:numPr>
          <w:ilvl w:val="0"/>
          <w:numId w:val="1031"/>
        </w:numPr>
        <w:pStyle w:val="Compact"/>
      </w:pPr>
      <w:r>
        <w:rPr>
          <w:bCs/>
          <w:b/>
        </w:rPr>
        <w:t xml:space="preserve">Renewable Energy Sourcing:</w:t>
      </w:r>
      <w:r>
        <w:t xml:space="preserve"> </w:t>
      </w:r>
      <w:r>
        <w:t xml:space="preserve">For the manufacturing facility in China, actively pursue 100% renewable energy procurement or on-site generation to further reduce Scope 2 (or Scope 3 for kssevtppqq) emissions.</w:t>
      </w:r>
    </w:p>
    <w:p>
      <w:pPr>
        <w:numPr>
          <w:ilvl w:val="0"/>
          <w:numId w:val="1031"/>
        </w:numPr>
        <w:pStyle w:val="Compact"/>
      </w:pPr>
      <w:r>
        <w:rPr>
          <w:bCs/>
          <w:b/>
        </w:rPr>
        <w:t xml:space="preserve">Circular Economy Integration:</w:t>
      </w:r>
      <w:r>
        <w:t xml:space="preserve"> </w:t>
      </w:r>
      <w:r>
        <w:t xml:space="preserve">Leverage and expand the "established national program" for take-back and recycling (weihnjsokt) to maximize material recovery and explore design-for-disassembly to further increase recyclability beyond vsdjfoizsx (80%).</w:t>
      </w:r>
    </w:p>
    <w:p>
      <w:pPr>
        <w:numPr>
          <w:ilvl w:val="0"/>
          <w:numId w:val="1031"/>
        </w:numPr>
        <w:pStyle w:val="Compact"/>
      </w:pPr>
      <w:r>
        <w:rPr>
          <w:bCs/>
          <w:b/>
        </w:rPr>
        <w:t xml:space="preserve">Supply Chain Engagement:</w:t>
      </w:r>
      <w:r>
        <w:t xml:space="preserve"> </w:t>
      </w:r>
      <w:r>
        <w:t xml:space="preserve">Collaborate with material suppliers and logistics providers to identify and implement lower-carbon alternatives and more efficient transport routes.</w:t>
      </w:r>
    </w:p>
    <w:p>
      <w:r>
        <w:pict>
          <v:rect style="width:0;height:1.5pt" o:hralign="center" o:hrstd="t" o:hr="t"/>
        </w:pict>
      </w:r>
    </w:p>
    <w:p>
      <w:pPr>
        <w:pStyle w:val="FirstParagraph"/>
      </w:pPr>
      <w:r>
        <w:t xml:space="preserve">Confidential - Internal Use Only</w:t>
      </w:r>
    </w:p>
    <w:bookmarkEnd w:id="69"/>
    <w:bookmarkEnd w:id="70"/>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hffdxmnizr</dc:title>
  <dc:creator/>
  <dc:description/>
  <dc:language>en</dc:language>
  <cp:keywords>Product Carbon Footprint, PCF, GHG Protocol, Sustainability, Scope 1, Scope 2, Scope 3, Land Sector and Removals, LSR, hffdxmnizr, kssevtppqq, qqsmmwhoki, environmental report, carbon emissions, Product Carbon Footprint, PCF, GHG Protocol, Sustainability, Scope 1, Scope 2, Scope 3, Land Sector and Removals, LSR, hffdxmnizr, kssevtppqq, qqsmmwhoki, environmental report, carbon emissions</cp:keywords>
  <dcterms:created xsi:type="dcterms:W3CDTF">2026-07-15T13:43:02Z</dcterms:created>
  <dcterms:modified xsi:type="dcterms:W3CDTF">2026-07-15T13:43:02Z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