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heextthqhp</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heextthqhp"/>
    <w:p>
      <w:pPr>
        <w:pStyle w:val="Heading2"/>
      </w:pPr>
      <w:r>
        <w:t xml:space="preserve">For Product: heextthqhp</w:t>
      </w:r>
    </w:p>
    <w:p>
      <w:pPr>
        <w:pStyle w:val="FirstParagraph"/>
      </w:pPr>
      <w:r>
        <w:rPr>
          <w:bCs/>
          <w:b/>
        </w:rPr>
        <w:t xml:space="preserve">Company Name:</w:t>
      </w:r>
      <w:r>
        <w:t xml:space="preserve"> </w:t>
      </w:r>
      <w:r>
        <w:t xml:space="preserve">lnnyjlvldg</w:t>
      </w:r>
    </w:p>
    <w:p>
      <w:pPr>
        <w:pStyle w:val="BodyText"/>
      </w:pPr>
      <w:r>
        <w:rPr>
          <w:bCs/>
          <w:b/>
        </w:rPr>
        <w:t xml:space="preserve">Senior Sustainability Consultant:</w:t>
      </w:r>
      <w:r>
        <w:t xml:space="preserve"> </w:t>
      </w:r>
      <w:r>
        <w:t xml:space="preserve">jxkueneqyd</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every effort has been made to ensure accuracy, specific conditions and future</w:t>
      </w:r>
      <w:r>
        <w:t xml:space="preserve"> </w:t>
      </w:r>
      <w:r>
        <w:t xml:space="preserve">developments may influence actual carbon footprints.</w:t>
      </w:r>
    </w:p>
    <w:bookmarkEnd w:id="20"/>
    <w:bookmarkEnd w:id="21"/>
    <w:bookmarkStart w:id="5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heextthqhp,</w:t>
      </w:r>
      <w:r>
        <w:t xml:space="preserve"> </w:t>
      </w:r>
      <w:r>
        <w:t xml:space="preserve">manufactured by lnnyjlvldg. The analysis was conducted by jxkueneqyd, Senior Sustainability Consultant,</w:t>
      </w:r>
      <w:r>
        <w:t xml:space="preserve"> </w:t>
      </w:r>
      <w:r>
        <w:t xml:space="preserve">following the Greenhouse Gas (GHG) Protocol standards. The assessment covers the full lifecycle of</w:t>
      </w:r>
      <w:r>
        <w:t xml:space="preserve"> </w:t>
      </w:r>
      <w:r>
        <w:t xml:space="preserve">heextthqhp, from material acquisition to end-of-life, categorizing emissions into Scope 1, 2, and 3.</w:t>
      </w:r>
      <w:r>
        <w:t xml:space="preserve"> </w:t>
      </w:r>
      <w:r>
        <w:t xml:space="preserve">Special attention has been given to achieving at least 95% coverage for Scope 3 reporting, as per</w:t>
      </w:r>
      <w:r>
        <w:t xml:space="preserve"> </w:t>
      </w:r>
      <w:r>
        <w:t xml:space="preserve">2026 requirements, and incorporating the 2026 Land Sector and Removals (LSR) Standard where applicable.</w:t>
      </w:r>
      <w:r>
        <w:t xml:space="preserve"> </w:t>
      </w:r>
      <w:r>
        <w:t xml:space="preserve">The primary objective is to identify key carbon hotspots across the product\'s lifecycle and provide</w:t>
      </w:r>
      <w:r>
        <w:t xml:space="preserve"> </w:t>
      </w:r>
      <w:r>
        <w:t xml:space="preserve">a robust baseline for future decarbonization strategies.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for heextthqhp was calculated in accordance with the</w:t>
      </w:r>
      <w:r>
        <w:t xml:space="preserve"> </w:t>
      </w:r>
      <w:r>
        <w:t xml:space="preserve">GHG Protocol Product Standard, which is a globally recognized accounting framework for</w:t>
      </w:r>
      <w:r>
        <w:t xml:space="preserve"> </w:t>
      </w:r>
      <w:r>
        <w:t xml:space="preserve">quantifying and reporting greenhouse gas emissions. This analysis adheres to the following parameters: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heextthqhp.</w:t>
      </w:r>
    </w:p>
    <w:p>
      <w:pPr>
        <w:numPr>
          <w:ilvl w:val="0"/>
          <w:numId w:val="1001"/>
        </w:numPr>
        <w:pStyle w:val="Compact"/>
      </w:pPr>
      <w:r>
        <w:rPr>
          <w:bCs/>
          <w:b/>
        </w:rPr>
        <w:t xml:space="preserve">System Boundary:</w:t>
      </w:r>
      <w:r>
        <w:t xml:space="preserve"> </w:t>
      </w:r>
      <w:r>
        <w:t xml:space="preserve">Factory Gate to End-of-Life (Cradle-to-Grave). The "factory_gate" production stage is a key boundary, but the analysis extends to include transportation,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(for downstream elements like use and EoL).</w:t>
      </w:r>
    </w:p>
    <w:p>
      <w:pPr>
        <w:numPr>
          <w:ilvl w:val="0"/>
          <w:numId w:val="1001"/>
        </w:numPr>
        <w:pStyle w:val="Compact"/>
      </w:pPr>
      <w:r>
        <w:rPr>
          <w:bCs/>
          <w:b/>
        </w:rPr>
        <w:t xml:space="preserve">Accounting Standard:</w:t>
      </w:r>
      <w:r>
        <w:t xml:space="preserve"> </w:t>
      </w:r>
      <w:r>
        <w:t xml:space="preserve">GHG Protocol, specifically the Product Life Cycle Accounting and Reporting Standard, and incorporating principles from the Land Sector and Removals (LSR) Standard (effective January 1, 2027).</w:t>
      </w:r>
    </w:p>
    <w:p>
      <w:pPr>
        <w:numPr>
          <w:ilvl w:val="0"/>
          <w:numId w:val="1001"/>
        </w:numPr>
        <w:pStyle w:val="Compact"/>
      </w:pPr>
      <w:r>
        <w:rPr>
          <w:bCs/>
          <w:b/>
        </w:rPr>
        <w:t xml:space="preserve">Allocation:</w:t>
      </w:r>
      <w:r>
        <w:t xml:space="preserve"> </w:t>
      </w:r>
      <w:r>
        <w:t xml:space="preserve">Emissions are allocated based on mass for materials and energy consumption directly attributable to the functional unit. For shared transport, allocation is based on tonne-kilometer.</w:t>
      </w:r>
    </w:p>
    <w:bookmarkEnd w:id="23"/>
    <w:bookmarkStart w:id="24" w:name="lsr-update-considerations"/>
    <w:p>
      <w:pPr>
        <w:pStyle w:val="Heading3"/>
      </w:pPr>
      <w:r>
        <w:t xml:space="preserve">1.2. 2026 LSR Update Considerations</w:t>
      </w:r>
    </w:p>
    <w:p>
      <w:pPr>
        <w:pStyle w:val="FirstParagraph"/>
      </w:pPr>
      <w:r>
        <w:t xml:space="preserve">The Land Sector and Removals (LSR) Standard, effective January 1, 2027, provides guidance for</w:t>
      </w:r>
      <w:r>
        <w:t xml:space="preserve"> </w:t>
      </w:r>
      <w:r>
        <w:t xml:space="preserve">quantifying land emissions, CO₂ removals, and biogenic products. While heextthqhp</w:t>
      </w:r>
      <w:r>
        <w:t xml:space="preserve"> </w:t>
      </w:r>
      <w:r>
        <w:t xml:space="preserve">is not primarily an agricultural or land-intensive product, this report acknowledges the LSR</w:t>
      </w:r>
      <w:r>
        <w:t xml:space="preserve"> </w:t>
      </w:r>
      <w:r>
        <w:t xml:space="preserve">Standard. Should any raw materials in the supply chain have significant land-use change or</w:t>
      </w:r>
      <w:r>
        <w:t xml:space="preserve"> </w:t>
      </w:r>
      <w:r>
        <w:t xml:space="preserve">biogenic carbon components, these would be quantified as per the standard. For this product,</w:t>
      </w:r>
      <w:r>
        <w:t xml:space="preserve"> </w:t>
      </w:r>
      <w:r>
        <w:t xml:space="preserve">without specific land-use related activity data, the direct applicability of quantifiable LSR</w:t>
      </w:r>
      <w:r>
        <w:t xml:space="preserve"> </w:t>
      </w:r>
      <w:r>
        <w:t xml:space="preserve">emissions is limited, but the framework for future inclusion is noted.</w:t>
      </w:r>
    </w:p>
    <w:p>
      <w:r>
        <w:pict>
          <v:rect style="width:0;height:1.5pt" o:hralign="center" o:hrstd="t" o:hr="t"/>
        </w:pict>
      </w:r>
    </w:p>
    <w:bookmarkEnd w:id="24"/>
    <w:bookmarkEnd w:id="25"/>
    <w:bookmarkStart w:id="31" w:name="lifecycle-mapping-lci-inventory-stages"/>
    <w:p>
      <w:pPr>
        <w:pStyle w:val="Heading2"/>
      </w:pPr>
      <w:r>
        <w:t xml:space="preserve">2. Lifecycle Mapping (LCI Inventory Stages)</w:t>
      </w:r>
    </w:p>
    <w:p>
      <w:pPr>
        <w:pStyle w:val="FirstParagraph"/>
      </w:pPr>
      <w:r>
        <w:t xml:space="preserve">The lifecycle of heextthqhp is mapped across five key stages, each contributing to the overall</w:t>
      </w:r>
      <w:r>
        <w:t xml:space="preserve"> </w:t>
      </w:r>
      <w:r>
        <w:t xml:space="preserve">carbon footprint. This includes upstream (materials, transport), core (production), and downstream</w:t>
      </w:r>
      <w:r>
        <w:t xml:space="preserve"> </w:t>
      </w:r>
      <w:r>
        <w:t xml:space="preserve">(transport, use, end-of-life) activities.</w:t>
      </w:r>
    </w:p>
    <w:bookmarkStart w:id="26" w:name="X8939f35e592b607d8b473759dccbfeea48278a4"/>
    <w:p>
      <w:pPr>
        <w:pStyle w:val="Heading3"/>
      </w:pPr>
      <w:r>
        <w:t xml:space="preserve">2.1. Detailed Breakdown of Materials (Upstream - Scope 3, Category 1)</w:t>
      </w:r>
    </w:p>
    <w:p>
      <w:pPr>
        <w:pStyle w:val="FirstParagraph"/>
      </w:pPr>
      <w:r>
        <w:t xml:space="preserve">The Detailed Bill of Materials (BOM) for heextthqhp, identified as wnvkozyt, provides specific</w:t>
      </w:r>
      <w:r>
        <w:t xml:space="preserve"> </w:t>
      </w:r>
      <w:r>
        <w:t xml:space="preserve">carbon impact data for each component. These values are used directly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3.1</w:t>
            </w:r>
          </w:p>
        </w:tc>
        <w:tc>
          <w:tcPr/>
          <w:p>
            <w:pPr>
              <w:pStyle w:val="Compact"/>
              <w:jc w:val="left"/>
            </w:pPr>
            <w:r>
              <w:t xml:space="preserve">3.72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6.00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0.50</w:t>
            </w:r>
          </w:p>
        </w:tc>
      </w:tr>
    </w:tbl>
    <w:p>
      <w:pPr>
        <w:pStyle w:val="BodyText"/>
      </w:pPr>
      <w:r>
        <w:rPr>
          <w:bCs/>
          <w:b/>
        </w:rPr>
        <w:t xml:space="preserve">Total Material Carbon Impact:</w:t>
      </w:r>
      <w:r>
        <w:t xml:space="preserve"> </w:t>
      </w:r>
      <w:r>
        <w:t xml:space="preserve">17.22 kg CO2e</w:t>
      </w:r>
    </w:p>
    <w:bookmarkEnd w:id="26"/>
    <w:bookmarkStart w:id="27" w:name="energy-inputs-production---scope-1-2"/>
    <w:p>
      <w:pPr>
        <w:pStyle w:val="Heading3"/>
      </w:pPr>
      <w:r>
        <w:t xml:space="preserve">2.2. Energy Inputs (Production - Scope 1 &amp; 2)</w:t>
      </w:r>
    </w:p>
    <w:p>
      <w:pPr>
        <w:pStyle w:val="FirstParagraph"/>
      </w:pPr>
      <w:r>
        <w:t xml:space="preserve">The energy intensity for the production of one unit of heextthqhp is sfjrwnhqdq (1.5 kWh/unit).</w:t>
      </w:r>
      <w:r>
        <w:t xml:space="preserve"> </w:t>
      </w:r>
      <w:r>
        <w:t xml:space="preserve">Renewable energy usage is zofzkexpzw (30%). Production occurs in China.</w:t>
      </w:r>
    </w:p>
    <w:bookmarkEnd w:id="27"/>
    <w:bookmarkStart w:id="28" w:name="X38315043f060504f4c5ad370e6ee025015ae0c3"/>
    <w:p>
      <w:pPr>
        <w:pStyle w:val="Heading3"/>
      </w:pPr>
      <w:r>
        <w:t xml:space="preserve">2.3. Transport and Logistics (Scope 3, Category 4 &amp; 9)</w:t>
      </w:r>
    </w:p>
    <w:p>
      <w:pPr>
        <w:pStyle w:val="FirstParagraph"/>
      </w:pPr>
      <w:r>
        <w:t xml:space="preserve">Logistics include transportation from suppliers to the factory in China, and then from the factory</w:t>
      </w:r>
      <w:r>
        <w:t xml:space="preserve"> </w:t>
      </w:r>
      <w:r>
        <w:t xml:space="preserve">to the European market, including last-mile delivery.</w:t>
      </w:r>
    </w:p>
    <w:p>
      <w:pPr>
        <w:numPr>
          <w:ilvl w:val="0"/>
          <w:numId w:val="1002"/>
        </w:numPr>
        <w:pStyle w:val="Compact"/>
      </w:pPr>
      <w:r>
        <w:rPr>
          <w:bCs/>
          <w:b/>
        </w:rPr>
        <w:t xml:space="preserve">Transport Mode (Main):</w:t>
      </w:r>
      <w:r>
        <w:t xml:space="preserve"> </w:t>
      </w:r>
      <w:r>
        <w:t xml:space="preserve">Ocean Freight (China to Europe).</w:t>
      </w:r>
    </w:p>
    <w:p>
      <w:pPr>
        <w:numPr>
          <w:ilvl w:val="0"/>
          <w:numId w:val="1002"/>
        </w:numPr>
        <w:pStyle w:val="Compact"/>
      </w:pPr>
      <w:r>
        <w:rPr>
          <w:bCs/>
          <w:b/>
        </w:rPr>
        <w:t xml:space="preserve">Transport Distance (Ocean):</w:t>
      </w:r>
      <w:r>
        <w:t xml:space="preserve"> </w:t>
      </w:r>
      <w:r>
        <w:t xml:space="preserve">~20,000 km.</w:t>
      </w:r>
    </w:p>
    <w:p>
      <w:pPr>
        <w:numPr>
          <w:ilvl w:val="0"/>
          <w:numId w:val="1002"/>
        </w:numPr>
        <w:pStyle w:val="Compact"/>
      </w:pPr>
      <w:r>
        <w:rPr>
          <w:bCs/>
          <w:b/>
        </w:rPr>
        <w:t xml:space="preserve">Transport Mode (European Distribution):</w:t>
      </w:r>
      <w:r>
        <w:t xml:space="preserve"> </w:t>
      </w:r>
      <w:r>
        <w:t xml:space="preserve">Road Freight (Heavy Goods Vehicle).</w:t>
      </w:r>
    </w:p>
    <w:p>
      <w:pPr>
        <w:numPr>
          <w:ilvl w:val="0"/>
          <w:numId w:val="1002"/>
        </w:numPr>
        <w:pStyle w:val="Compact"/>
      </w:pPr>
      <w:r>
        <w:rPr>
          <w:bCs/>
          <w:b/>
        </w:rPr>
        <w:t xml:space="preserve">Transport Distance (European Distribution):</w:t>
      </w:r>
      <w:r>
        <w:t xml:space="preserve"> </w:t>
      </w:r>
      <w:r>
        <w:t xml:space="preserve">psorexvjyi (500 km).</w:t>
      </w:r>
    </w:p>
    <w:p>
      <w:pPr>
        <w:numPr>
          <w:ilvl w:val="0"/>
          <w:numId w:val="1002"/>
        </w:numPr>
        <w:pStyle w:val="Compact"/>
      </w:pPr>
      <w:r>
        <w:rPr>
          <w:bCs/>
          <w:b/>
        </w:rPr>
        <w:t xml:space="preserve">Last-Mile Delivery Channel:</w:t>
      </w:r>
      <w:r>
        <w:t xml:space="preserve"> </w:t>
      </w:r>
      <w:r>
        <w:t xml:space="preserve">Parcel Delivery (Light Commercial Vehicle).</w:t>
      </w:r>
    </w:p>
    <w:p>
      <w:pPr>
        <w:numPr>
          <w:ilvl w:val="0"/>
          <w:numId w:val="1002"/>
        </w:numPr>
        <w:pStyle w:val="Compact"/>
      </w:pPr>
      <w:r>
        <w:rPr>
          <w:bCs/>
          <w:b/>
        </w:rPr>
        <w:t xml:space="preserve">Last-Mile Delivery Distance:</w:t>
      </w:r>
      <w:r>
        <w:t xml:space="preserve"> </w:t>
      </w:r>
      <w:r>
        <w:t xml:space="preserve">50 km (assumed).</w:t>
      </w:r>
    </w:p>
    <w:bookmarkEnd w:id="28"/>
    <w:bookmarkStart w:id="29" w:name="X01fffecb4d51cf9638741502492363d57dc681a"/>
    <w:p>
      <w:pPr>
        <w:pStyle w:val="Heading3"/>
      </w:pPr>
      <w:r>
        <w:t xml:space="preserve">2.4. Use Phase (Downstream - Scope 3, Category 11)</w:t>
      </w:r>
    </w:p>
    <w:p>
      <w:pPr>
        <w:pStyle w:val="FirstParagraph"/>
      </w:pPr>
      <w:r>
        <w:t xml:space="preserve">The product lifespan is durkqtrrrv (5 years), and its energy consumption in use is ftpuqdejqf (20 kWh/year).</w:t>
      </w:r>
    </w:p>
    <w:bookmarkEnd w:id="29"/>
    <w:bookmarkStart w:id="30" w:name="Xfd069e7e5106f6c55e532b52df751e12046219f"/>
    <w:p>
      <w:pPr>
        <w:pStyle w:val="Heading3"/>
      </w:pPr>
      <w:r>
        <w:t xml:space="preserve">2.5. End-of-Life (Downstream - Scope 3, Category 12)</w:t>
      </w:r>
    </w:p>
    <w:p>
      <w:pPr>
        <w:pStyle w:val="FirstParagraph"/>
      </w:pPr>
      <w:r>
        <w:t xml:space="preserve">End-of-life scenarios consider recyclability and circular programs.</w:t>
      </w:r>
    </w:p>
    <w:p>
      <w:pPr>
        <w:numPr>
          <w:ilvl w:val="0"/>
          <w:numId w:val="1003"/>
        </w:numPr>
        <w:pStyle w:val="Compact"/>
      </w:pPr>
      <w:r>
        <w:rPr>
          <w:bCs/>
          <w:b/>
        </w:rPr>
        <w:t xml:space="preserve">Recyclability Percentage:</w:t>
      </w:r>
      <w:r>
        <w:t xml:space="preserve"> </w:t>
      </w:r>
      <w:r>
        <w:t xml:space="preserve">qutoqzrdxf (70%).</w:t>
      </w:r>
    </w:p>
    <w:p>
      <w:pPr>
        <w:numPr>
          <w:ilvl w:val="0"/>
          <w:numId w:val="1003"/>
        </w:numPr>
        <w:pStyle w:val="Compact"/>
      </w:pPr>
      <w:r>
        <w:rPr>
          <w:bCs/>
          <w:b/>
        </w:rPr>
        <w:t xml:space="preserve">Circular/Take-back Programs:</w:t>
      </w:r>
      <w:r>
        <w:t xml:space="preserve"> </w:t>
      </w:r>
      <w:r>
        <w:t xml:space="preserve">tmmktowktu (Partnerships with local recycling facilities).</w:t>
      </w:r>
    </w:p>
    <w:p>
      <w:pPr>
        <w:numPr>
          <w:ilvl w:val="0"/>
          <w:numId w:val="1003"/>
        </w:numPr>
        <w:pStyle w:val="Compact"/>
      </w:pPr>
      <w:r>
        <w:t xml:space="preserve">The remaining 30% of the product\'s mass is assumed to be landfilled.</w:t>
      </w:r>
    </w:p>
    <w:p>
      <w:r>
        <w:pict>
          <v:rect style="width:0;height:1.5pt" o:hralign="center" o:hrstd="t" o:hr="t"/>
        </w:pict>
      </w:r>
    </w:p>
    <w:bookmarkEnd w:id="30"/>
    <w:bookmarkEnd w:id="31"/>
    <w:bookmarkStart w:id="33" w:name="Xb57f50a89bf1f3f1837369be949d9d60d6c1272"/>
    <w:p>
      <w:pPr>
        <w:pStyle w:val="Heading2"/>
      </w:pPr>
      <w:r>
        <w:t xml:space="preserve">3. Collect Data (Primary/Secondary Data Points)</w:t>
      </w:r>
    </w:p>
    <w:p>
      <w:pPr>
        <w:pStyle w:val="FirstParagraph"/>
      </w:pPr>
      <w:r>
        <w:t xml:space="preserve">Data collection for this PCF analysis involved a combination of primary data</w:t>
      </w:r>
      <w:r>
        <w:t xml:space="preserve"> </w:t>
      </w:r>
      <w:r>
        <w:t xml:space="preserve">(provided BOM, energy usage, product lifespan, recyclability) and secondary data</w:t>
      </w:r>
      <w:r>
        <w:t xml:space="preserve"> </w:t>
      </w:r>
      <w:r>
        <w:t xml:space="preserve">(industry-standard emission factors from reputable sources like Ecoinvent/DEFRA,</w:t>
      </w:r>
      <w:r>
        <w:t xml:space="preserve"> </w:t>
      </w:r>
      <w:r>
        <w:t xml:space="preserve">and recent regional electricity grid mixes).</w:t>
      </w:r>
    </w:p>
    <w:bookmarkStart w:id="32" w:name="emission-factors-used"/>
    <w:p>
      <w:pPr>
        <w:pStyle w:val="Heading3"/>
      </w:pPr>
      <w:r>
        <w:t xml:space="preserve">3.1. Emission Factors Used</w:t>
      </w:r>
    </w:p>
    <w:p>
      <w:pPr>
        <w:numPr>
          <w:ilvl w:val="0"/>
          <w:numId w:val="1004"/>
        </w:numPr>
        <w:pStyle w:val="Compact"/>
      </w:pPr>
      <w:r>
        <w:rPr>
          <w:bCs/>
          <w:b/>
        </w:rPr>
        <w:t xml:space="preserve">Electricity Grid (China):</w:t>
      </w:r>
      <w:r>
        <w:t xml:space="preserve"> </w:t>
      </w:r>
      <w:r>
        <w:t xml:space="preserve">0.6205 kg CO2e/kWh (National Average, 2023).</w:t>
      </w:r>
    </w:p>
    <w:p>
      <w:pPr>
        <w:numPr>
          <w:ilvl w:val="0"/>
          <w:numId w:val="1004"/>
        </w:numPr>
        <w:pStyle w:val="Compact"/>
      </w:pPr>
      <w:r>
        <w:rPr>
          <w:bCs/>
          <w:b/>
        </w:rPr>
        <w:t xml:space="preserve">Electricity Grid (Europe):</w:t>
      </w:r>
      <w:r>
        <w:t xml:space="preserve"> </w:t>
      </w:r>
      <w:r>
        <w:t xml:space="preserve">0.181 kg CO2e/kWh (European Carbon Factor, 2024).</w:t>
      </w:r>
    </w:p>
    <w:p>
      <w:pPr>
        <w:numPr>
          <w:ilvl w:val="0"/>
          <w:numId w:val="1004"/>
        </w:numPr>
        <w:pStyle w:val="Compact"/>
      </w:pPr>
      <w:r>
        <w:rPr>
          <w:bCs/>
          <w:b/>
        </w:rPr>
        <w:t xml:space="preserve">Ocean Freight:</w:t>
      </w:r>
      <w:r>
        <w:t xml:space="preserve"> </w:t>
      </w:r>
      <w:r>
        <w:t xml:space="preserve">0.016142 kg CO2e/tonne-km (Container ship, average).</w:t>
      </w:r>
    </w:p>
    <w:p>
      <w:pPr>
        <w:numPr>
          <w:ilvl w:val="0"/>
          <w:numId w:val="1004"/>
        </w:numPr>
        <w:pStyle w:val="Compact"/>
      </w:pPr>
      <w:r>
        <w:rPr>
          <w:bCs/>
          <w:b/>
        </w:rPr>
        <w:t xml:space="preserve">Road Freight (HGV):</w:t>
      </w:r>
      <w:r>
        <w:t xml:space="preserve"> </w:t>
      </w:r>
      <w:r>
        <w:t xml:space="preserve">0.01959 kg CO2e/tonne-km (Articulated HGV average laden - WTT, UK BEIS/Defra 2021).</w:t>
      </w:r>
    </w:p>
    <w:p>
      <w:pPr>
        <w:numPr>
          <w:ilvl w:val="0"/>
          <w:numId w:val="1004"/>
        </w:numPr>
        <w:pStyle w:val="Compact"/>
      </w:pPr>
      <w:r>
        <w:rPr>
          <w:bCs/>
          <w:b/>
        </w:rPr>
        <w:t xml:space="preserve">Parcel Delivery (LCV):</w:t>
      </w:r>
      <w:r>
        <w:t xml:space="preserve"> </w:t>
      </w:r>
      <w:r>
        <w:t xml:space="preserve">0.15 kg CO2e/tonne-km (Assumed for light commercial vehicles in last-mile delivery due to higher intensity than HGV).</w:t>
      </w:r>
    </w:p>
    <w:p>
      <w:pPr>
        <w:numPr>
          <w:ilvl w:val="0"/>
          <w:numId w:val="1004"/>
        </w:numPr>
        <w:pStyle w:val="Compact"/>
      </w:pPr>
      <w:r>
        <w:rPr>
          <w:bCs/>
          <w:b/>
        </w:rPr>
        <w:t xml:space="preserve">Landfill (Mixed Waste):</w:t>
      </w:r>
      <w:r>
        <w:t xml:space="preserve"> </w:t>
      </w:r>
      <w:r>
        <w:t xml:space="preserve">0.3 kg CO2e/kg (Conventional landfilling of mixed waste).</w:t>
      </w:r>
    </w:p>
    <w:p>
      <w:pPr>
        <w:numPr>
          <w:ilvl w:val="0"/>
          <w:numId w:val="1004"/>
        </w:numPr>
        <w:pStyle w:val="Compact"/>
      </w:pPr>
      <w:r>
        <w:rPr>
          <w:bCs/>
          <w:b/>
        </w:rPr>
        <w:t xml:space="preserve">Recycling (Steel Process):</w:t>
      </w:r>
      <w:r>
        <w:t xml:space="preserve"> </w:t>
      </w:r>
      <w:r>
        <w:t xml:space="preserve">0.044 kg CO2e/kg (Structural Steel - Recycled, US EPA 2024, conversion from short ton).</w:t>
      </w:r>
    </w:p>
    <w:p>
      <w:pPr>
        <w:numPr>
          <w:ilvl w:val="0"/>
          <w:numId w:val="1004"/>
        </w:numPr>
        <w:pStyle w:val="Compact"/>
      </w:pPr>
      <w:r>
        <w:rPr>
          <w:bCs/>
          <w:b/>
        </w:rPr>
        <w:t xml:space="preserve">Recycling (Plastic Process):</w:t>
      </w:r>
      <w:r>
        <w:t xml:space="preserve"> </w:t>
      </w:r>
      <w:r>
        <w:t xml:space="preserve">0.202 kg CO2e/kg (Closed-loop recycled plastic, ADEME Base Empreinte).</w:t>
      </w:r>
    </w:p>
    <w:p>
      <w:r>
        <w:pict>
          <v:rect style="width:0;height:1.5pt" o:hralign="center" o:hrstd="t" o:hr="t"/>
        </w:pict>
      </w:r>
    </w:p>
    <w:bookmarkEnd w:id="32"/>
    <w:bookmarkEnd w:id="33"/>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w:t>
      </w:r>
      <w:r>
        <w:t xml:space="preserve"> </w:t>
      </w:r>
      <w:r>
        <w:t xml:space="preserve">The product\'s total weight is estimated at 4.6 kg (sum of BOM quantities).</w:t>
      </w:r>
    </w:p>
    <w:bookmarkStart w:id="36" w:name="scope-3-upstream-emissions-value-chain"/>
    <w:p>
      <w:pPr>
        <w:pStyle w:val="Heading3"/>
      </w:pPr>
      <w:r>
        <w:t xml:space="preserve">4.1. Scope 3: Upstream Emissions (Value Chain)</w:t>
      </w:r>
    </w:p>
    <w:bookmarkStart w:id="34" w:name="Xab9729a0caae076ca89f2f71668734f92723cf2"/>
    <w:p>
      <w:pPr>
        <w:pStyle w:val="Heading4"/>
      </w:pPr>
      <w:r>
        <w:t xml:space="preserve">4.1.1. Category 1: Purchased Goods and Services (Materials)</w:t>
      </w:r>
    </w:p>
    <w:p>
      <w:pPr>
        <w:pStyle w:val="FirstParagraph"/>
      </w:pPr>
      <w:r>
        <w:t xml:space="preserve">The material impact is directly taken from the "Total Carbon" column of the provided BOM for each item.</w:t>
      </w:r>
    </w:p>
    <w:p>
      <w:pPr>
        <w:pStyle w:val="BodyText"/>
      </w:pPr>
      <w:r>
        <w:rPr>
          <w:bCs/>
          <w:b/>
        </w:rPr>
        <w:t xml:space="preserve">Total Material Emissions:</w:t>
      </w:r>
      <w:r>
        <w:t xml:space="preserve"> </w:t>
      </w:r>
      <w:r>
        <w:t xml:space="preserve">17.22 kg CO2e</w:t>
      </w:r>
    </w:p>
    <w:bookmarkEnd w:id="34"/>
    <w:bookmarkStart w:id="35" w:name="X6669a43143349c25ec93e775eebde43de53a73c"/>
    <w:p>
      <w:pPr>
        <w:pStyle w:val="Heading4"/>
      </w:pPr>
      <w:r>
        <w:t xml:space="preserve">4.1.2. Category 4: Upstream Transportation and Distribution</w:t>
      </w:r>
    </w:p>
    <w:p>
      <w:pPr>
        <w:pStyle w:val="FirstParagraph"/>
      </w:pPr>
      <w:r>
        <w:t xml:space="preserve">Product Weight for Transport: 4.6 kg = 0.0046 tonnes.</w:t>
      </w:r>
    </w:p>
    <w:p>
      <w:pPr>
        <w:numPr>
          <w:ilvl w:val="0"/>
          <w:numId w:val="1005"/>
        </w:numPr>
        <w:pStyle w:val="Compact"/>
      </w:pPr>
      <w:r>
        <w:rPr>
          <w:bCs/>
          <w:b/>
        </w:rPr>
        <w:t xml:space="preserve">Ocean Freight (China to Europe):</w:t>
      </w:r>
    </w:p>
    <w:p>
      <w:pPr>
        <w:numPr>
          <w:ilvl w:val="1"/>
          <w:numId w:val="1006"/>
        </w:numPr>
        <w:pStyle w:val="Compact"/>
      </w:pPr>
      <w:r>
        <w:t xml:space="preserve">Distance: 20,000 km (assumed)</w:t>
      </w:r>
    </w:p>
    <w:p>
      <w:pPr>
        <w:numPr>
          <w:ilvl w:val="1"/>
          <w:numId w:val="1006"/>
        </w:numPr>
        <w:pStyle w:val="Compact"/>
      </w:pPr>
      <w:r>
        <w:t xml:space="preserve">Emission Factor: 0.016142 kg CO2e/tonne-km</w:t>
      </w:r>
    </w:p>
    <w:p>
      <w:pPr>
        <w:numPr>
          <w:ilvl w:val="1"/>
          <w:numId w:val="1006"/>
        </w:numPr>
        <w:pStyle w:val="Compact"/>
      </w:pPr>
      <w:r>
        <w:t xml:space="preserve">Calculation: 0.0046 tonnes * 20,000 km * 0.016142 kg CO2e/tonne-km = 1.485 kg CO2e</w:t>
      </w:r>
    </w:p>
    <w:p>
      <w:pPr>
        <w:numPr>
          <w:ilvl w:val="0"/>
          <w:numId w:val="1005"/>
        </w:numPr>
        <w:pStyle w:val="Compact"/>
      </w:pPr>
      <w:r>
        <w:rPr>
          <w:bCs/>
          <w:b/>
        </w:rPr>
        <w:t xml:space="preserve">Road Freight (European Distribution - HGV):</w:t>
      </w:r>
    </w:p>
    <w:p>
      <w:pPr>
        <w:numPr>
          <w:ilvl w:val="1"/>
          <w:numId w:val="1007"/>
        </w:numPr>
        <w:pStyle w:val="Compact"/>
      </w:pPr>
      <w:r>
        <w:t xml:space="preserve">Distance: 500 km (psorexvjyi)</w:t>
      </w:r>
    </w:p>
    <w:p>
      <w:pPr>
        <w:numPr>
          <w:ilvl w:val="1"/>
          <w:numId w:val="1007"/>
        </w:numPr>
        <w:pStyle w:val="Compact"/>
      </w:pPr>
      <w:r>
        <w:t xml:space="preserve">Emission Factor: 0.01959 kg CO2e/tonne-km</w:t>
      </w:r>
    </w:p>
    <w:p>
      <w:pPr>
        <w:numPr>
          <w:ilvl w:val="1"/>
          <w:numId w:val="1007"/>
        </w:numPr>
        <w:pStyle w:val="Compact"/>
      </w:pPr>
      <w:r>
        <w:t xml:space="preserve">Calculation: 0.0046 tonnes * 500 km * 0.01959 kg CO2e/tonne-km = 0.045 kg CO2e</w:t>
      </w:r>
    </w:p>
    <w:p>
      <w:pPr>
        <w:pStyle w:val="FirstParagraph"/>
      </w:pPr>
      <w:r>
        <w:rPr>
          <w:bCs/>
          <w:b/>
        </w:rPr>
        <w:t xml:space="preserve">Total Upstream Transport Emissions:</w:t>
      </w:r>
      <w:r>
        <w:t xml:space="preserve"> </w:t>
      </w:r>
      <w:r>
        <w:t xml:space="preserve">1.485 kg CO2e + 0.045 kg CO2e = 1.53 kg CO2e</w:t>
      </w:r>
    </w:p>
    <w:bookmarkEnd w:id="35"/>
    <w:bookmarkEnd w:id="36"/>
    <w:bookmarkStart w:id="39" w:name="scope-1-2-production-phase-emissions"/>
    <w:p>
      <w:pPr>
        <w:pStyle w:val="Heading3"/>
      </w:pPr>
      <w:r>
        <w:t xml:space="preserve">4.2. Scope 1 &amp; 2: Production Phase Emissions</w:t>
      </w:r>
    </w:p>
    <w:bookmarkStart w:id="37" w:name="Xaa3ccb3d62d0dd07191bf48646fccca753dff77"/>
    <w:p>
      <w:pPr>
        <w:pStyle w:val="Heading4"/>
      </w:pPr>
      <w:r>
        <w:t xml:space="preserve">4.2.1. Scope 1: Direct Emissions (On-site Fuel Combustion)</w:t>
      </w:r>
    </w:p>
    <w:p>
      <w:pPr>
        <w:pStyle w:val="FirstParagraph"/>
      </w:pPr>
      <w:r>
        <w:t xml:space="preserve">No specific direct fuel combustion data (e.g., natural gas for heating) was provided.</w:t>
      </w:r>
      <w:r>
        <w:t xml:space="preserve"> </w:t>
      </w:r>
      <w:r>
        <w:t xml:space="preserve">Assuming primary energy use is electricity. If direct combustion exists, further data is needed.</w:t>
      </w:r>
      <w:r>
        <w:t xml:space="preserve"> </w:t>
      </w:r>
      <w:r>
        <w:t xml:space="preserve">For this report, Scope 1 emissions are assumed to be negligible without additional data.</w:t>
      </w:r>
    </w:p>
    <w:p>
      <w:pPr>
        <w:pStyle w:val="BodyText"/>
      </w:pPr>
      <w:r>
        <w:rPr>
          <w:bCs/>
          <w:b/>
        </w:rPr>
        <w:t xml:space="preserve">Total Scope 1 Emissions:</w:t>
      </w:r>
      <w:r>
        <w:t xml:space="preserve"> </w:t>
      </w:r>
      <w:r>
        <w:t xml:space="preserve">0.00 kg CO2e (assumed)</w:t>
      </w:r>
    </w:p>
    <w:bookmarkEnd w:id="37"/>
    <w:bookmarkStart w:id="38" w:name="Xe578209a49eabfde2edaf977ad2b592c314c527"/>
    <w:p>
      <w:pPr>
        <w:pStyle w:val="Heading4"/>
      </w:pPr>
      <w:r>
        <w:t xml:space="preserve">4.2.2. Scope 2: Energy Indirect Emissions (Purchased Electricity)</w:t>
      </w:r>
    </w:p>
    <w:p>
      <w:pPr>
        <w:numPr>
          <w:ilvl w:val="0"/>
          <w:numId w:val="1008"/>
        </w:numPr>
        <w:pStyle w:val="Compact"/>
      </w:pPr>
      <w:r>
        <w:t xml:space="preserve">Energy Intensity: 1.5 kWh/unit (sfjrwnhqdq)</w:t>
      </w:r>
    </w:p>
    <w:p>
      <w:pPr>
        <w:numPr>
          <w:ilvl w:val="0"/>
          <w:numId w:val="1008"/>
        </w:numPr>
        <w:pStyle w:val="Compact"/>
      </w:pPr>
      <w:r>
        <w:t xml:space="preserve">Renewable Energy Usage: 30% (zofzkexpzw)</w:t>
      </w:r>
    </w:p>
    <w:p>
      <w:pPr>
        <w:numPr>
          <w:ilvl w:val="0"/>
          <w:numId w:val="1008"/>
        </w:numPr>
        <w:pStyle w:val="Compact"/>
      </w:pPr>
      <w:r>
        <w:t xml:space="preserve">Non-renewable energy from grid: 70%</w:t>
      </w:r>
    </w:p>
    <w:p>
      <w:pPr>
        <w:numPr>
          <w:ilvl w:val="0"/>
          <w:numId w:val="1008"/>
        </w:numPr>
        <w:pStyle w:val="Compact"/>
      </w:pPr>
      <w:r>
        <w:t xml:space="preserve">China Electricity Grid Emission Factor: 0.6205 kg CO2e/kWh</w:t>
      </w:r>
    </w:p>
    <w:p>
      <w:pPr>
        <w:numPr>
          <w:ilvl w:val="0"/>
          <w:numId w:val="1008"/>
        </w:numPr>
        <w:pStyle w:val="Compact"/>
      </w:pPr>
      <w:r>
        <w:t xml:space="preserve">Calculation: 1.5 kWh/unit * 0.70 (non-renewable) * 0.6205 kg CO2e/kWh = 0.6515 kg CO2e</w:t>
      </w:r>
    </w:p>
    <w:p>
      <w:pPr>
        <w:pStyle w:val="FirstParagraph"/>
      </w:pPr>
      <w:r>
        <w:rPr>
          <w:bCs/>
          <w:b/>
        </w:rPr>
        <w:t xml:space="preserve">Total Scope 2 Emissions:</w:t>
      </w:r>
      <w:r>
        <w:t xml:space="preserve"> </w:t>
      </w:r>
      <w:r>
        <w:t xml:space="preserve">0.65 kg CO2e</w:t>
      </w:r>
    </w:p>
    <w:bookmarkEnd w:id="38"/>
    <w:bookmarkEnd w:id="39"/>
    <w:bookmarkStart w:id="43" w:name="scope-3-downstream-emissions-value-chain"/>
    <w:p>
      <w:pPr>
        <w:pStyle w:val="Heading3"/>
      </w:pPr>
      <w:r>
        <w:t xml:space="preserve">4.3. Scope 3: Downstream Emissions (Value Chain)</w:t>
      </w:r>
    </w:p>
    <w:bookmarkStart w:id="40" w:name="Xe6a609cc71639c4bb5b5bcd247c776c9d89fa33"/>
    <w:p>
      <w:pPr>
        <w:pStyle w:val="Heading4"/>
      </w:pPr>
      <w:r>
        <w:t xml:space="preserve">4.3.1. Category 9: Downstream Transportation and Distribution (Last-Mile Delivery)</w:t>
      </w:r>
    </w:p>
    <w:p>
      <w:pPr>
        <w:numPr>
          <w:ilvl w:val="0"/>
          <w:numId w:val="1009"/>
        </w:numPr>
        <w:pStyle w:val="Compact"/>
      </w:pPr>
      <w:r>
        <w:t xml:space="preserve">Product Weight: 0.0046 tonnes</w:t>
      </w:r>
    </w:p>
    <w:p>
      <w:pPr>
        <w:numPr>
          <w:ilvl w:val="0"/>
          <w:numId w:val="1009"/>
        </w:numPr>
        <w:pStyle w:val="Compact"/>
      </w:pPr>
      <w:r>
        <w:t xml:space="preserve">Distance: 50 km (assumed last-mile)</w:t>
      </w:r>
    </w:p>
    <w:p>
      <w:pPr>
        <w:numPr>
          <w:ilvl w:val="0"/>
          <w:numId w:val="1009"/>
        </w:numPr>
        <w:pStyle w:val="Compact"/>
      </w:pPr>
      <w:r>
        <w:t xml:space="preserve">Emission Factor: 0.15 kg CO2e/tonne-km (assumed LCV)</w:t>
      </w:r>
    </w:p>
    <w:p>
      <w:pPr>
        <w:numPr>
          <w:ilvl w:val="0"/>
          <w:numId w:val="1009"/>
        </w:numPr>
        <w:pStyle w:val="Compact"/>
      </w:pPr>
      <w:r>
        <w:t xml:space="preserve">Calculation: 0.0046 tonnes * 50 km * 0.15 kg CO2e/tonne-km = 0.035 kg CO2e</w:t>
      </w:r>
    </w:p>
    <w:p>
      <w:pPr>
        <w:pStyle w:val="FirstParagraph"/>
      </w:pPr>
      <w:r>
        <w:rPr>
          <w:bCs/>
          <w:b/>
        </w:rPr>
        <w:t xml:space="preserve">Total Downstream Transport Emissions:</w:t>
      </w:r>
      <w:r>
        <w:t xml:space="preserve"> </w:t>
      </w:r>
      <w:r>
        <w:t xml:space="preserve">0.035 kg CO2e</w:t>
      </w:r>
    </w:p>
    <w:bookmarkEnd w:id="40"/>
    <w:bookmarkStart w:id="41" w:name="category-11-use-of-sold-products"/>
    <w:p>
      <w:pPr>
        <w:pStyle w:val="Heading4"/>
      </w:pPr>
      <w:r>
        <w:t xml:space="preserve">4.3.2. Category 11: Use of Sold Products</w:t>
      </w:r>
    </w:p>
    <w:p>
      <w:pPr>
        <w:numPr>
          <w:ilvl w:val="0"/>
          <w:numId w:val="1010"/>
        </w:numPr>
        <w:pStyle w:val="Compact"/>
      </w:pPr>
      <w:r>
        <w:t xml:space="preserve">Product Lifespan: 5 years (durkqtrrrv)</w:t>
      </w:r>
    </w:p>
    <w:p>
      <w:pPr>
        <w:numPr>
          <w:ilvl w:val="0"/>
          <w:numId w:val="1010"/>
        </w:numPr>
        <w:pStyle w:val="Compact"/>
      </w:pPr>
      <w:r>
        <w:t xml:space="preserve">Energy Consumption in Use: 20 kWh/year (ftpuqdejqf)</w:t>
      </w:r>
    </w:p>
    <w:p>
      <w:pPr>
        <w:numPr>
          <w:ilvl w:val="0"/>
          <w:numId w:val="1010"/>
        </w:numPr>
        <w:pStyle w:val="Compact"/>
      </w:pPr>
      <w:r>
        <w:t xml:space="preserve">Total Energy Consumption over Lifespan: 20 kWh/year * 5 years = 100 kWh</w:t>
      </w:r>
    </w:p>
    <w:p>
      <w:pPr>
        <w:numPr>
          <w:ilvl w:val="0"/>
          <w:numId w:val="1010"/>
        </w:numPr>
        <w:pStyle w:val="Compact"/>
      </w:pPr>
      <w:r>
        <w:t xml:space="preserve">Europe Electricity Grid Emission Factor: 0.181 kg CO2e/kWh</w:t>
      </w:r>
    </w:p>
    <w:p>
      <w:pPr>
        <w:numPr>
          <w:ilvl w:val="0"/>
          <w:numId w:val="1010"/>
        </w:numPr>
        <w:pStyle w:val="Compact"/>
      </w:pPr>
      <w:r>
        <w:t xml:space="preserve">Calculation: 100 kWh * 0.181 kg CO2e/kWh = 18.10 kg CO2e</w:t>
      </w:r>
    </w:p>
    <w:p>
      <w:pPr>
        <w:pStyle w:val="FirstParagraph"/>
      </w:pPr>
      <w:r>
        <w:rPr>
          <w:bCs/>
          <w:b/>
        </w:rPr>
        <w:t xml:space="preserve">Total Use Phase Emissions:</w:t>
      </w:r>
      <w:r>
        <w:t xml:space="preserve"> </w:t>
      </w:r>
      <w:r>
        <w:t xml:space="preserve">18.10 kg CO2e</w:t>
      </w:r>
    </w:p>
    <w:bookmarkEnd w:id="41"/>
    <w:bookmarkStart w:id="42" w:name="X9f66eef2700632e081dfe139021cb724ffcd2c5"/>
    <w:p>
      <w:pPr>
        <w:pStyle w:val="Heading4"/>
      </w:pPr>
      <w:r>
        <w:t xml:space="preserve">4.3.3. Category 12: End-of-Life Treatment of Sold Products</w:t>
      </w:r>
    </w:p>
    <w:p>
      <w:pPr>
        <w:numPr>
          <w:ilvl w:val="0"/>
          <w:numId w:val="1011"/>
        </w:numPr>
        <w:pStyle w:val="Compact"/>
      </w:pPr>
      <w:r>
        <w:t xml:space="preserve">Product Weight: 4.6 kg</w:t>
      </w:r>
    </w:p>
    <w:p>
      <w:pPr>
        <w:numPr>
          <w:ilvl w:val="0"/>
          <w:numId w:val="1011"/>
        </w:numPr>
        <w:pStyle w:val="Compact"/>
      </w:pPr>
      <w:r>
        <w:t xml:space="preserve">Recyclability Percentage: 70% (qutoqzrdxf)</w:t>
      </w:r>
    </w:p>
    <w:p>
      <w:pPr>
        <w:numPr>
          <w:ilvl w:val="0"/>
          <w:numId w:val="1011"/>
        </w:numPr>
        <w:pStyle w:val="Compact"/>
      </w:pPr>
      <w:r>
        <w:t xml:space="preserve">Amount Recycled: 4.6 kg * 0.70 = 3.22 kg</w:t>
      </w:r>
    </w:p>
    <w:p>
      <w:pPr>
        <w:numPr>
          <w:ilvl w:val="0"/>
          <w:numId w:val="1011"/>
        </w:numPr>
        <w:pStyle w:val="Compact"/>
      </w:pPr>
      <w:r>
        <w:t xml:space="preserve">Amount Landfilled: 4.6 kg * 0.30 = 1.38 kg</w:t>
      </w:r>
    </w:p>
    <w:p>
      <w:pPr>
        <w:numPr>
          <w:ilvl w:val="0"/>
          <w:numId w:val="1011"/>
        </w:numPr>
        <w:pStyle w:val="Compact"/>
      </w:pPr>
      <w:r>
        <w:rPr>
          <w:bCs/>
          <w:b/>
        </w:rPr>
        <w:t xml:space="preserve">Emissions from Recycling:</w:t>
      </w:r>
      <w:r>
        <w:t xml:space="preserve"> </w:t>
      </w:r>
      <w:r>
        <w:t xml:space="preserve">(Assuming an average recycling factor combining steel and plastic, as the exact breakdown for EoL recycling emissions for complex products can be challenging without more specific data. For simplicity, we\'ll use a weighted average based on the BOM categories for steel and plastic if specific EoL data for \'Circuit Board\' and \'Lithium-ion Battery\' isn\'t available.)</w:t>
      </w:r>
      <w:r>
        <w:t xml:space="preserve"> </w:t>
      </w:r>
      <w:r>
        <w:t xml:space="preserve">Let\'s assume the 70% recyclability applies proportionally to the material composition.</w:t>
      </w:r>
      <w:r>
        <w:t xml:space="preserve"> </w:t>
      </w:r>
      <w:r>
        <w:t xml:space="preserve">* Steel (2.5 kg * 0.70 = 1.75 kg recycled) @ 0.044 kg CO2e/kg = 0.077 kg CO2e</w:t>
      </w:r>
      <w:r>
        <w:t xml:space="preserve"> </w:t>
      </w:r>
      <w:r>
        <w:t xml:space="preserve">* Plastic (1.2 kg * 0.70 = 0.84 kg recycled) @ 0.202 kg CO2e/kg = 0.170 kg CO2e</w:t>
      </w:r>
      <w:r>
        <w:t xml:space="preserve"> </w:t>
      </w:r>
      <w:r>
        <w:t xml:space="preserve">* Cardboard (0.5 kg * 0.70 = 0.35 kg recycled) - assume a similar low-impact recycling process, for calculation use plastic factor as proxy if not specified = 0.071 kg CO2e (0.35 * 0.202)</w:t>
      </w:r>
      <w:r>
        <w:t xml:space="preserve"> </w:t>
      </w:r>
      <w:r>
        <w:t xml:space="preserve">* Electronics/Battery (0.1+0.3=0.4 kg * 0.70 = 0.28 kg recycled) - very complex, assume average plastic factor as proxy for process emissions without specific data = 0.057 kg CO2e (0.28 * 0.202)</w:t>
      </w:r>
      <w:r>
        <w:t xml:space="preserve"> </w:t>
      </w:r>
      <w:r>
        <w:t xml:space="preserve">*</w:t>
      </w:r>
      <w:r>
        <w:t xml:space="preserve"> </w:t>
      </w:r>
      <w:r>
        <w:rPr>
          <w:bCs/>
          <w:b/>
        </w:rPr>
        <w:t xml:space="preserve">Total Recycling Emissions:</w:t>
      </w:r>
      <w:r>
        <w:t xml:space="preserve"> </w:t>
      </w:r>
      <w:r>
        <w:t xml:space="preserve">0.077 + 0.170 + 0.071 + 0.057 = 0.375 kg CO2e</w:t>
      </w:r>
    </w:p>
    <w:p>
      <w:pPr>
        <w:numPr>
          <w:ilvl w:val="0"/>
          <w:numId w:val="1011"/>
        </w:numPr>
        <w:pStyle w:val="Compact"/>
      </w:pPr>
      <w:r>
        <w:rPr>
          <w:bCs/>
          <w:b/>
        </w:rPr>
        <w:t xml:space="preserve">Emissions from Landfill:</w:t>
      </w:r>
    </w:p>
    <w:p>
      <w:pPr>
        <w:numPr>
          <w:ilvl w:val="1"/>
          <w:numId w:val="1012"/>
        </w:numPr>
        <w:pStyle w:val="Compact"/>
      </w:pPr>
      <w:r>
        <w:t xml:space="preserve">Amount: 1.38 kg</w:t>
      </w:r>
    </w:p>
    <w:p>
      <w:pPr>
        <w:numPr>
          <w:ilvl w:val="1"/>
          <w:numId w:val="1012"/>
        </w:numPr>
        <w:pStyle w:val="Compact"/>
      </w:pPr>
      <w:r>
        <w:t xml:space="preserve">Emission Factor: 0.3 kg CO2e/kg (mixed waste landfill)</w:t>
      </w:r>
    </w:p>
    <w:p>
      <w:pPr>
        <w:numPr>
          <w:ilvl w:val="1"/>
          <w:numId w:val="1012"/>
        </w:numPr>
        <w:pStyle w:val="Compact"/>
      </w:pPr>
      <w:r>
        <w:t xml:space="preserve">Calculation: 1.38 kg * 0.3 kg CO2e/kg = 0.414 kg CO2e</w:t>
      </w:r>
    </w:p>
    <w:p>
      <w:pPr>
        <w:pStyle w:val="FirstParagraph"/>
      </w:pPr>
      <w:r>
        <w:rPr>
          <w:bCs/>
          <w:b/>
        </w:rPr>
        <w:t xml:space="preserve">Total End-of-Life Emissions:</w:t>
      </w:r>
      <w:r>
        <w:t xml:space="preserve"> </w:t>
      </w:r>
      <w:r>
        <w:t xml:space="preserve">0.375 kg CO2e (Recycling) + 0.414 kg CO2e (Landfill) = 0.789 kg CO2e</w:t>
      </w:r>
    </w:p>
    <w:bookmarkEnd w:id="42"/>
    <w:bookmarkEnd w:id="43"/>
    <w:bookmarkStart w:id="44" w:name="summary-of-emissions-by-scope-and-stage"/>
    <w:p>
      <w:pPr>
        <w:pStyle w:val="Heading3"/>
      </w:pPr>
      <w:r>
        <w:t xml:space="preserve">4.4.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Total Emissions (kg CO2e)</w:t>
            </w:r>
          </w:p>
        </w:tc>
      </w:tr>
      <w:tr>
        <w:tc>
          <w:tcPr/>
          <w:p>
            <w:pPr>
              <w:pStyle w:val="Compact"/>
              <w:jc w:val="left"/>
            </w:pPr>
            <w:r>
              <w:rPr>
                <w:bCs/>
                <w:b/>
              </w:rPr>
              <w:t xml:space="preserve">Upstream (Materials)</w:t>
            </w:r>
          </w:p>
        </w:tc>
        <w:tc>
          <w:tcPr/>
          <w:p>
            <w:pPr>
              <w:pStyle w:val="Compact"/>
              <w:jc w:val="left"/>
            </w:pPr>
            <w:r>
              <w:t xml:space="preserve">Scope 3, Category 1 (Purchased Goods and Services)</w:t>
            </w:r>
          </w:p>
        </w:tc>
        <w:tc>
          <w:tcPr/>
          <w:p>
            <w:pPr>
              <w:pStyle w:val="Compact"/>
              <w:jc w:val="left"/>
            </w:pPr>
            <w:r>
              <w:t xml:space="preserve">17.22</w:t>
            </w:r>
          </w:p>
        </w:tc>
      </w:tr>
      <w:tr>
        <w:tc>
          <w:tcPr/>
          <w:p>
            <w:pPr>
              <w:pStyle w:val="Compact"/>
              <w:jc w:val="left"/>
            </w:pPr>
            <w:r>
              <w:rPr>
                <w:bCs/>
                <w:b/>
              </w:rPr>
              <w:t xml:space="preserve">Upstream (Transport)</w:t>
            </w:r>
          </w:p>
        </w:tc>
        <w:tc>
          <w:tcPr/>
          <w:p>
            <w:pPr>
              <w:pStyle w:val="Compact"/>
              <w:jc w:val="left"/>
            </w:pPr>
            <w:r>
              <w:t xml:space="preserve">Scope 3, Category 4 (Upstream Transportation and Distribution)</w:t>
            </w:r>
          </w:p>
        </w:tc>
        <w:tc>
          <w:tcPr/>
          <w:p>
            <w:pPr>
              <w:pStyle w:val="Compact"/>
              <w:jc w:val="left"/>
            </w:pPr>
            <w:r>
              <w:t xml:space="preserve">1.53</w:t>
            </w:r>
          </w:p>
        </w:tc>
      </w:tr>
      <w:tr>
        <w:tc>
          <w:tcPr/>
          <w:p>
            <w:pPr>
              <w:pStyle w:val="Compact"/>
              <w:jc w:val="left"/>
            </w:pPr>
            <w:r>
              <w:rPr>
                <w:bCs/>
                <w:b/>
              </w:rPr>
              <w:t xml:space="preserve">Production (Direct)</w:t>
            </w:r>
          </w:p>
        </w:tc>
        <w:tc>
          <w:tcPr/>
          <w:p>
            <w:pPr>
              <w:pStyle w:val="Compact"/>
              <w:jc w:val="left"/>
            </w:pPr>
            <w:r>
              <w:t xml:space="preserve">Scope 1 (Direct Emissions)</w:t>
            </w:r>
          </w:p>
        </w:tc>
        <w:tc>
          <w:tcPr/>
          <w:p>
            <w:pPr>
              <w:pStyle w:val="Compact"/>
              <w:jc w:val="left"/>
            </w:pPr>
            <w:r>
              <w:t xml:space="preserve">0.00</w:t>
            </w:r>
          </w:p>
        </w:tc>
      </w:tr>
      <w:tr>
        <w:tc>
          <w:tcPr/>
          <w:p>
            <w:pPr>
              <w:pStyle w:val="Compact"/>
              <w:jc w:val="left"/>
            </w:pPr>
            <w:r>
              <w:rPr>
                <w:bCs/>
                <w:b/>
              </w:rPr>
              <w:t xml:space="preserve">Production (Electricity)</w:t>
            </w:r>
          </w:p>
        </w:tc>
        <w:tc>
          <w:tcPr/>
          <w:p>
            <w:pPr>
              <w:pStyle w:val="Compact"/>
              <w:jc w:val="left"/>
            </w:pPr>
            <w:r>
              <w:t xml:space="preserve">Scope 2 (Energy Indirect Emissions)</w:t>
            </w:r>
          </w:p>
        </w:tc>
        <w:tc>
          <w:tcPr/>
          <w:p>
            <w:pPr>
              <w:pStyle w:val="Compact"/>
              <w:jc w:val="left"/>
            </w:pPr>
            <w:r>
              <w:t xml:space="preserve">0.65</w:t>
            </w:r>
          </w:p>
        </w:tc>
      </w:tr>
      <w:tr>
        <w:tc>
          <w:tcPr/>
          <w:p>
            <w:pPr>
              <w:pStyle w:val="Compact"/>
              <w:jc w:val="left"/>
            </w:pPr>
            <w:r>
              <w:rPr>
                <w:bCs/>
                <w:b/>
              </w:rPr>
              <w:t xml:space="preserve">Downstream (Transport)</w:t>
            </w:r>
          </w:p>
        </w:tc>
        <w:tc>
          <w:tcPr/>
          <w:p>
            <w:pPr>
              <w:pStyle w:val="Compact"/>
              <w:jc w:val="left"/>
            </w:pPr>
            <w:r>
              <w:t xml:space="preserve">Scope 3, Category 9 (Downstream Transportation and Distribution)</w:t>
            </w:r>
          </w:p>
        </w:tc>
        <w:tc>
          <w:tcPr/>
          <w:p>
            <w:pPr>
              <w:pStyle w:val="Compact"/>
              <w:jc w:val="left"/>
            </w:pPr>
            <w:r>
              <w:t xml:space="preserve">0.035</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18.10</w:t>
            </w:r>
          </w:p>
        </w:tc>
      </w:tr>
      <w:tr>
        <w:tc>
          <w:tcPr/>
          <w:p>
            <w:pPr>
              <w:pStyle w:val="Compact"/>
              <w:jc w:val="left"/>
            </w:pPr>
            <w:r>
              <w:rPr>
                <w:bCs/>
                <w:b/>
              </w:rPr>
              <w:t xml:space="preserve">End-of-Life</w:t>
            </w:r>
          </w:p>
        </w:tc>
        <w:tc>
          <w:tcPr/>
          <w:p>
            <w:pPr>
              <w:pStyle w:val="Compact"/>
              <w:jc w:val="left"/>
            </w:pPr>
            <w:r>
              <w:t xml:space="preserve">Scope 3, Category 12 (End-of-Life Treatment of Sold Products)</w:t>
            </w:r>
          </w:p>
        </w:tc>
        <w:tc>
          <w:tcPr/>
          <w:p>
            <w:pPr>
              <w:pStyle w:val="Compact"/>
              <w:jc w:val="left"/>
            </w:pPr>
            <w:r>
              <w:t xml:space="preserve">0.79</w:t>
            </w:r>
          </w:p>
        </w:tc>
      </w:tr>
      <w:tr>
        <w:tc>
          <w:tcPr>
            <w:gridSpan w:val="2"/>
          </w:tcPr>
          <w:p>
            <w:pPr>
              <w:pStyle w:val="Compact"/>
              <w:jc w:val="left"/>
            </w:pPr>
            <w:r>
              <w:rPr>
                <w:bCs/>
                <w:b/>
              </w:rPr>
              <w:t xml:space="preserve">Total Product Carbon Footprint (PCF) for heextthqhp</w:t>
            </w:r>
          </w:p>
        </w:tc>
        <w:tc>
          <w:tcPr/>
          <w:p>
            <w:pPr>
              <w:pStyle w:val="Compact"/>
              <w:jc w:val="left"/>
            </w:pPr>
            <w:r>
              <w:rPr>
                <w:bCs/>
                <w:b/>
              </w:rPr>
              <w:t xml:space="preserve">38.33 kg CO2e</w:t>
            </w:r>
          </w:p>
        </w:tc>
      </w:tr>
    </w:tbl>
    <w:p>
      <w:pPr>
        <w:pStyle w:val="BodyText"/>
      </w:pPr>
      <w:r>
        <w:rPr>
          <w:bCs/>
          <w:b/>
        </w:rPr>
        <w:t xml:space="preserve">Scope 3 Compliance:</w:t>
      </w:r>
      <w:r>
        <w:t xml:space="preserve"> </w:t>
      </w:r>
      <w:r>
        <w:t xml:space="preserve">The total Scope 3 emissions are 17.22 (Materials) + 1.53 (Upstream Transport) + 0.035 (Downstream Transport) + 18.10 (Use Phase) + 0.79 (End-of-Life) = 37.675 kg CO2e. The total PCF is 38.33 kg CO2e. Scope 3 emissions represent 37.675 / 38.33 ≈ 98.3% of the total PCF, which exceeds the 95% coverage requirement for 2026.</w:t>
      </w:r>
    </w:p>
    <w:p>
      <w:r>
        <w:pict>
          <v:rect style="width:0;height:1.5pt" o:hralign="center" o:hrstd="t" o:hr="t"/>
        </w:pict>
      </w:r>
    </w:p>
    <w:bookmarkEnd w:id="44"/>
    <w:bookmarkEnd w:id="45"/>
    <w:bookmarkStart w:id="49" w:name="review-report-hotspots-and-reliability"/>
    <w:p>
      <w:pPr>
        <w:pStyle w:val="Heading2"/>
      </w:pPr>
      <w:r>
        <w:t xml:space="preserve">5. Review &amp; Report (Hotspots and Reliability)</w:t>
      </w:r>
    </w:p>
    <w:bookmarkStart w:id="46" w:name="identification-of-hotspots"/>
    <w:p>
      <w:pPr>
        <w:pStyle w:val="Heading3"/>
      </w:pPr>
      <w:r>
        <w:t xml:space="preserve">5.1. Identification of Hotspots</w:t>
      </w:r>
    </w:p>
    <w:p>
      <w:pPr>
        <w:pStyle w:val="FirstParagraph"/>
      </w:pPr>
      <w:r>
        <w:t xml:space="preserve">The analysis reveals the following major carbon hotspots for heextthqhp:</w:t>
      </w:r>
    </w:p>
    <w:p>
      <w:pPr>
        <w:numPr>
          <w:ilvl w:val="0"/>
          <w:numId w:val="1013"/>
        </w:numPr>
        <w:pStyle w:val="Compact"/>
      </w:pPr>
      <w:r>
        <w:rPr>
          <w:bCs/>
          <w:b/>
        </w:rPr>
        <w:t xml:space="preserve">Materials (Scope 3, Category 1):</w:t>
      </w:r>
      <w:r>
        <w:t xml:space="preserve"> </w:t>
      </w:r>
      <w:r>
        <w:t xml:space="preserve">At 17.22 kg CO2e, the raw materials and their manufacturing processes represent a significant portion of the total footprint. This is driven by the specific "Total Carbon" values provided in the BOM, particularly for components like the Lithium-ion Battery and Steel Chassis.</w:t>
      </w:r>
    </w:p>
    <w:p>
      <w:pPr>
        <w:numPr>
          <w:ilvl w:val="0"/>
          <w:numId w:val="1013"/>
        </w:numPr>
        <w:pStyle w:val="Compact"/>
      </w:pPr>
      <w:r>
        <w:rPr>
          <w:bCs/>
          <w:b/>
        </w:rPr>
        <w:t xml:space="preserve">Use Phase (Scope 3, Category 11):</w:t>
      </w:r>
      <w:r>
        <w:t xml:space="preserve"> </w:t>
      </w:r>
      <w:r>
        <w:t xml:space="preserve">The energy consumption during the 5-year product lifespan (18.10 kg CO2e) is another dominant contributor. Even with Europe\'s relatively cleaner grid, continuous energy draw adds up significantly over time.</w:t>
      </w:r>
    </w:p>
    <w:p>
      <w:pPr>
        <w:numPr>
          <w:ilvl w:val="0"/>
          <w:numId w:val="1013"/>
        </w:numPr>
        <w:pStyle w:val="Compact"/>
      </w:pPr>
      <w:r>
        <w:rPr>
          <w:bCs/>
          <w:b/>
        </w:rPr>
        <w:t xml:space="preserve">Upstream Transportation (Scope 3, Category 4):</w:t>
      </w:r>
      <w:r>
        <w:t xml:space="preserve"> </w:t>
      </w:r>
      <w:r>
        <w:t xml:space="preserve">While not as high as materials or use phase, ocean freight makes a notable contribution due to the long distance from China to Europe.</w:t>
      </w:r>
    </w:p>
    <w:bookmarkEnd w:id="46"/>
    <w:bookmarkStart w:id="47" w:name="reliability-and-limitations"/>
    <w:p>
      <w:pPr>
        <w:pStyle w:val="Heading3"/>
      </w:pPr>
      <w:r>
        <w:t xml:space="preserve">5.2. Reliability and Limitations</w:t>
      </w:r>
    </w:p>
    <w:p>
      <w:pPr>
        <w:pStyle w:val="FirstParagraph"/>
      </w:pPr>
      <w:r>
        <w:t xml:space="preserve">The reliability of this PCF report is high, primarily due to the use of specific primary data</w:t>
      </w:r>
      <w:r>
        <w:t xml:space="preserve"> </w:t>
      </w:r>
      <w:r>
        <w:t xml:space="preserve">for the Bill of Materials, energy intensity, and product lifespan.</w:t>
      </w:r>
    </w:p>
    <w:p>
      <w:pPr>
        <w:numPr>
          <w:ilvl w:val="0"/>
          <w:numId w:val="1014"/>
        </w:numPr>
        <w:pStyle w:val="Compact"/>
      </w:pPr>
      <w:r>
        <w:rPr>
          <w:bCs/>
          <w:b/>
        </w:rPr>
        <w:t xml:space="preserve">Primary Data Strength:</w:t>
      </w:r>
      <w:r>
        <w:t xml:space="preserve"> </w:t>
      </w:r>
      <w:r>
        <w:t xml:space="preserve">The use of exact "Total Carbon" values from the BOM (wnvkozyt) significantly enhances the accuracy of material-related impacts compared to generic industry averages.</w:t>
      </w:r>
    </w:p>
    <w:p>
      <w:pPr>
        <w:numPr>
          <w:ilvl w:val="0"/>
          <w:numId w:val="1014"/>
        </w:numPr>
        <w:pStyle w:val="Compact"/>
      </w:pPr>
      <w:r>
        <w:rPr>
          <w:bCs/>
          <w:b/>
        </w:rPr>
        <w:t xml:space="preserve">Secondary Data Sources:</w:t>
      </w:r>
      <w:r>
        <w:t xml:space="preserve"> </w:t>
      </w:r>
      <w:r>
        <w:t xml:space="preserve">Emission factors are sourced from reputable databases like China\'s Ministry of Ecology and Environment, European Carbon Factor, and DEFRA-derived data.</w:t>
      </w:r>
    </w:p>
    <w:p>
      <w:pPr>
        <w:numPr>
          <w:ilvl w:val="0"/>
          <w:numId w:val="1014"/>
        </w:numPr>
        <w:pStyle w:val="Compact"/>
      </w:pPr>
      <w:r>
        <w:rPr>
          <w:bCs/>
          <w:b/>
        </w:rPr>
        <w:t xml:space="preserve">Assumptions:</w:t>
      </w:r>
      <w:r>
        <w:t xml:space="preserve"> </w:t>
      </w:r>
      <w:r>
        <w:t xml:space="preserve">Assumptions were made for placeholder data such as exact transport distances within Europe, last-mile delivery mode and distance, and the proportional application of recycling rates to mixed materials. While reasonable, these could be refined with more granular primary data.</w:t>
      </w:r>
    </w:p>
    <w:p>
      <w:pPr>
        <w:numPr>
          <w:ilvl w:val="0"/>
          <w:numId w:val="1014"/>
        </w:numPr>
        <w:pStyle w:val="Compact"/>
      </w:pPr>
      <w:r>
        <w:rPr>
          <w:bCs/>
          <w:b/>
        </w:rPr>
        <w:t xml:space="preserve">LSR Standard:</w:t>
      </w:r>
      <w:r>
        <w:t xml:space="preserve"> </w:t>
      </w:r>
      <w:r>
        <w:t xml:space="preserve">The lack of specific land-use related inputs for heextthqhp meant the LSR Standard was acknowledged for its framework but not extensively quantified beyond general material sourcing, which often has embedded land use impacts not explicitly broken out in typical PCF EFs.</w:t>
      </w:r>
    </w:p>
    <w:bookmarkEnd w:id="47"/>
    <w:bookmarkStart w:id="48" w:name="recommendations-for-decarbonization"/>
    <w:p>
      <w:pPr>
        <w:pStyle w:val="Heading3"/>
      </w:pPr>
      <w:r>
        <w:t xml:space="preserve">5.3. Recommendations for Decarbonization</w:t>
      </w:r>
    </w:p>
    <w:p>
      <w:pPr>
        <w:numPr>
          <w:ilvl w:val="0"/>
          <w:numId w:val="1015"/>
        </w:numPr>
        <w:pStyle w:val="Compact"/>
      </w:pPr>
      <w:r>
        <w:rPr>
          <w:bCs/>
          <w:b/>
        </w:rPr>
        <w:t xml:space="preserve">Material Optimization:</w:t>
      </w:r>
      <w:r>
        <w:t xml:space="preserve"> </w:t>
      </w:r>
      <w:r>
        <w:t xml:space="preserve">Focus on redesigning components to use lower-carbon materials or increase recycled content with certified low-impact recycling processes. Engage with suppliers for more detailed, primary data on component footprints.</w:t>
      </w:r>
    </w:p>
    <w:p>
      <w:pPr>
        <w:numPr>
          <w:ilvl w:val="0"/>
          <w:numId w:val="1015"/>
        </w:numPr>
        <w:pStyle w:val="Compact"/>
      </w:pPr>
      <w:r>
        <w:rPr>
          <w:bCs/>
          <w:b/>
        </w:rPr>
        <w:t xml:space="preserve">Energy Efficiency in Use:</w:t>
      </w:r>
      <w:r>
        <w:t xml:space="preserve"> </w:t>
      </w:r>
      <w:r>
        <w:t xml:space="preserve">Explore opportunities to reduce the product\'s energy consumption during its use phase. This could involve more energy-efficient designs, firmware updates, or consumer guidance for optimal use.</w:t>
      </w:r>
    </w:p>
    <w:p>
      <w:pPr>
        <w:numPr>
          <w:ilvl w:val="0"/>
          <w:numId w:val="1015"/>
        </w:numPr>
        <w:pStyle w:val="Compact"/>
      </w:pPr>
      <w:r>
        <w:rPr>
          <w:bCs/>
          <w:b/>
        </w:rPr>
        <w:t xml:space="preserve">Renewable Energy Sourcing (Production):</w:t>
      </w:r>
      <w:r>
        <w:t xml:space="preserve"> </w:t>
      </w:r>
      <w:r>
        <w:t xml:space="preserve">Increase the percentage of renewable energy directly utilized in the production facility in China (beyond the current 30%) or invest in high-quality renewable energy credits.</w:t>
      </w:r>
    </w:p>
    <w:p>
      <w:pPr>
        <w:numPr>
          <w:ilvl w:val="0"/>
          <w:numId w:val="1015"/>
        </w:numPr>
        <w:pStyle w:val="Compact"/>
      </w:pPr>
      <w:r>
        <w:rPr>
          <w:bCs/>
          <w:b/>
        </w:rPr>
        <w:t xml:space="preserve">Logistics Optimization:</w:t>
      </w:r>
      <w:r>
        <w:t xml:space="preserve"> </w:t>
      </w:r>
      <w:r>
        <w:t xml:space="preserve">Investigate opportunities for multimodal transport or optimizing load factors for both upstream and downstream logistics, especially for European distribution and last-mile delivery.</w:t>
      </w:r>
    </w:p>
    <w:p>
      <w:pPr>
        <w:numPr>
          <w:ilvl w:val="0"/>
          <w:numId w:val="1015"/>
        </w:numPr>
        <w:pStyle w:val="Compact"/>
      </w:pPr>
      <w:r>
        <w:rPr>
          <w:bCs/>
          <w:b/>
        </w:rPr>
        <w:t xml:space="preserve">Circular Economy Programs:</w:t>
      </w:r>
      <w:r>
        <w:t xml:space="preserve"> </w:t>
      </w:r>
      <w:r>
        <w:t xml:space="preserve">Strengthen existing take-back programs (tmmktowktu) and explore innovative closed-loop recycling systems to further reduce end-of-life impacts and increase the quality and quantity of materials recovered.</w:t>
      </w:r>
    </w:p>
    <w:p>
      <w:r>
        <w:pict>
          <v:rect style="width:0;height:1.5pt" o:hralign="center" o:hrstd="t" o:hr="t"/>
        </w:pict>
      </w:r>
    </w:p>
    <w:p>
      <w:pPr>
        <w:pStyle w:val="FirstParagraph"/>
      </w:pPr>
      <w:r>
        <w:t xml:space="preserve">Confidential - Internal Use Only | Page X of Y (dynamic pagination in print)</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heextthqhp</dc:title>
  <dc:creator/>
  <dc:description>High-detail Product Carbon Footprint (PCF) analysis for heextthqhp, adhering to GHG Protocol standards and 2026 LSR Update requirements.</dc:description>
  <dc:language>en</dc:language>
  <cp:keywords/>
  <dcterms:created xsi:type="dcterms:W3CDTF">2026-06-13T01:51:00Z</dcterms:created>
  <dcterms:modified xsi:type="dcterms:W3CDTF">2026-06-13T01:51:00Z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