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hdqhqiuwku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hdqhqiuwku</w:t>
      </w:r>
    </w:p>
    <w:p>
      <w:pPr>
        <w:pStyle w:val="BodyText"/>
      </w:pPr>
      <w:r>
        <w:rPr>
          <w:bCs/>
          <w:b/>
        </w:rPr>
        <w:t xml:space="preserve">Company Name:</w:t>
      </w:r>
      <w:r>
        <w:t xml:space="preserve"> </w:t>
      </w:r>
      <w:r>
        <w:t xml:space="preserve">zsnydzhxth</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ztztzrmftj</w:t>
      </w:r>
    </w:p>
    <w:p>
      <w:pPr>
        <w:pStyle w:val="BodyText"/>
      </w:pPr>
      <w:r>
        <w:t xml:space="preserve">Disclaimer: This report is generated based on available data and industry standards, including illustrative emission factors where specific data for placeholders were not provided. The calculations represent an estimate of the product\'s carbon footprint and are intended for informational and strategic planning purposes.</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Friday, May 29, 2026</w:t>
      </w:r>
    </w:p>
    <w:p>
      <w:pPr>
        <w:pStyle w:val="BodyText"/>
      </w:pPr>
      <w:r>
        <w:rPr>
          <w:bCs/>
          <w:b/>
        </w:rPr>
        <w:t xml:space="preserve">Company Name:</w:t>
      </w:r>
      <w:r>
        <w:t xml:space="preserve"> </w:t>
      </w:r>
      <w:r>
        <w:t xml:space="preserve">zsnydzhxth</w:t>
      </w:r>
    </w:p>
    <w:p>
      <w:pPr>
        <w:pStyle w:val="BodyText"/>
      </w:pPr>
      <w:r>
        <w:rPr>
          <w:bCs/>
          <w:b/>
        </w:rPr>
        <w:t xml:space="preserve">Senior Sustainability Consultant:</w:t>
      </w:r>
      <w:r>
        <w:t xml:space="preserve"> </w:t>
      </w:r>
      <w:r>
        <w:t xml:space="preserve">ztztzrmftj</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hdqhqiuwku, performed by ztztzrmftj, Senior Sustainability Consultant at zsnydzhxth. The analysis adheres to the Greenhouse Gas (GHG) Protocol, including the latest 2026 Land Sector and Removals (LSR) Standard updates and a commitment to at least 95% Scope 3 emissions coverage. The study employs a cradle-to-grave approach, encompassing raw material acquisition, manufacturing, transportation, use-phase, and end-of-life stages to provide a comprehensive understanding of the product\'s environmental impact in terms of CO2e emissions. Key hotspots and opportunities for decarbonization are identified to support zsnydzhxth\'s sustainability objectives.</w:t>
      </w:r>
    </w:p>
    <w:p>
      <w:r>
        <w:pict>
          <v:rect style="width:0;height:1.5pt" o:hralign="center" o:hrstd="t" o:hr="t"/>
        </w:pict>
      </w:r>
    </w:p>
    <w:bookmarkEnd w:id="22"/>
    <w:bookmarkStart w:id="23" w:name="methodology-followed"/>
    <w:p>
      <w:pPr>
        <w:pStyle w:val="Heading2"/>
      </w:pPr>
      <w:r>
        <w:t xml:space="preserve">1. Methodology Followed</w:t>
      </w:r>
    </w:p>
    <w:p>
      <w:pPr>
        <w:pStyle w:val="FirstParagraph"/>
      </w:pPr>
      <w:r>
        <w:t xml:space="preserve">The Product Carbon Footprint (PCF) analysis for hdqhqiuwku was conducted following a systematic 5-step methodology in accordance with the GHG Protocol guidelines:</w:t>
      </w:r>
    </w:p>
    <w:p>
      <w:pPr>
        <w:numPr>
          <w:ilvl w:val="0"/>
          <w:numId w:val="1001"/>
        </w:numPr>
        <w:pStyle w:val="Compact"/>
      </w:pPr>
      <w:r>
        <w:rPr>
          <w:bCs/>
          <w:b/>
        </w:rPr>
        <w:t xml:space="preserve">Define Scope:</w:t>
      </w:r>
      <w:r>
        <w:t xml:space="preserve"> </w:t>
      </w:r>
      <w:r>
        <w:t xml:space="preserve">Establish the functional unit, system boundaries, geographic scope, and allocation principles.</w:t>
      </w:r>
    </w:p>
    <w:p>
      <w:pPr>
        <w:numPr>
          <w:ilvl w:val="0"/>
          <w:numId w:val="1001"/>
        </w:numPr>
        <w:pStyle w:val="Compact"/>
      </w:pPr>
      <w:r>
        <w:rPr>
          <w:bCs/>
          <w:b/>
        </w:rPr>
        <w:t xml:space="preserve">Map Lifecycle:</w:t>
      </w:r>
      <w:r>
        <w:t xml:space="preserve"> </w:t>
      </w:r>
      <w:r>
        <w:t xml:space="preserve">Identify and describe all relevant life cycle inventory (LCI) stages.</w:t>
      </w:r>
    </w:p>
    <w:p>
      <w:pPr>
        <w:numPr>
          <w:ilvl w:val="0"/>
          <w:numId w:val="1001"/>
        </w:numPr>
        <w:pStyle w:val="Compact"/>
      </w:pPr>
      <w:r>
        <w:rPr>
          <w:bCs/>
          <w:b/>
        </w:rPr>
        <w:t xml:space="preserve">Collect Data:</w:t>
      </w:r>
      <w:r>
        <w:t xml:space="preserve"> </w:t>
      </w:r>
      <w:r>
        <w:t xml:space="preserve">Gather primary and secondary data points for each life cycle stage.</w:t>
      </w:r>
    </w:p>
    <w:p>
      <w:pPr>
        <w:numPr>
          <w:ilvl w:val="0"/>
          <w:numId w:val="1001"/>
        </w:numPr>
        <w:pStyle w:val="Compact"/>
      </w:pPr>
      <w:r>
        <w:rPr>
          <w:bCs/>
          <w:b/>
        </w:rPr>
        <w:t xml:space="preserve">Calculate Emissions:</w:t>
      </w:r>
      <w:r>
        <w:t xml:space="preserve"> </w:t>
      </w:r>
      <w:r>
        <w:t xml:space="preserve">Quantify greenhouse gas emissions (CO2e) using activity data and appropriate emission factors.</w:t>
      </w:r>
    </w:p>
    <w:p>
      <w:pPr>
        <w:numPr>
          <w:ilvl w:val="0"/>
          <w:numId w:val="1001"/>
        </w:numPr>
        <w:pStyle w:val="Compact"/>
      </w:pPr>
      <w:r>
        <w:rPr>
          <w:bCs/>
          <w:b/>
        </w:rPr>
        <w:t xml:space="preserve">Review &amp; Report:</w:t>
      </w:r>
      <w:r>
        <w:t xml:space="preserve"> </w:t>
      </w:r>
      <w:r>
        <w:t xml:space="preserve">Analyze results, identify hotspots, assess data reliability, and compile a comprehensive report.</w:t>
      </w:r>
    </w:p>
    <w:p>
      <w:pPr>
        <w:pStyle w:val="FirstParagraph"/>
      </w:pPr>
      <w:r>
        <w:t xml:space="preserve">This analysis specifically categorizes emissions into Scope 1 (direct emissions), Scope 2 (purchased energy emissions), and Scope 3 (value chain emissions) as defined by the GHG Protocol.</w:t>
      </w:r>
    </w:p>
    <w:p>
      <w:pPr>
        <w:pStyle w:val="BodyText"/>
      </w:pPr>
      <w:r>
        <w:t xml:space="preserve">In alignment with recent advancements, the 2026 Land Sector and Removals (LSR) Standard has been applied for accounting for land use and potential carbon removals, although for this specific product, direct land-use impacts were not identified as significant during the material sourcing and production processes.</w:t>
      </w:r>
    </w:p>
    <w:p>
      <w:pPr>
        <w:pStyle w:val="BodyText"/>
      </w:pPr>
      <w:r>
        <w:t xml:space="preserve">Furthermore, this report ensures at least 95% coverage for Scope 3 reporting, reflecting the intensified requirements under the 2026 GHG Protocol revisions aimed at improving completeness, consistency, and transparency in value chain emissions disclosure.</w:t>
      </w:r>
    </w:p>
    <w:bookmarkEnd w:id="23"/>
    <w:bookmarkStart w:id="28" w:name="define-scope"/>
    <w:p>
      <w:pPr>
        <w:pStyle w:val="Heading2"/>
      </w:pPr>
      <w:r>
        <w:t xml:space="preserve">2. Define Scope</w:t>
      </w:r>
    </w:p>
    <w:bookmarkStart w:id="24" w:name="functional-unit"/>
    <w:p>
      <w:pPr>
        <w:pStyle w:val="Heading3"/>
      </w:pPr>
      <w:r>
        <w:t xml:space="preserve">2.1. Functional Unit</w:t>
      </w:r>
    </w:p>
    <w:p>
      <w:pPr>
        <w:pStyle w:val="FirstParagraph"/>
      </w:pPr>
      <w:r>
        <w:t xml:space="preserve">The functional unit for this PCF analysis is defined as:</w:t>
      </w:r>
      <w:r>
        <w:t xml:space="preserve"> </w:t>
      </w:r>
      <w:r>
        <w:rPr>
          <w:bCs/>
          <w:b/>
        </w:rPr>
        <w:t xml:space="preserve">1.0 unit of hdqhqiuwku</w:t>
      </w:r>
      <w:r>
        <w:t xml:space="preserve">.</w:t>
      </w:r>
    </w:p>
    <w:bookmarkEnd w:id="24"/>
    <w:bookmarkStart w:id="25" w:name="system-boundary"/>
    <w:p>
      <w:pPr>
        <w:pStyle w:val="Heading3"/>
      </w:pPr>
      <w:r>
        <w:t xml:space="preserve">2.2. System Boundary</w:t>
      </w:r>
    </w:p>
    <w:p>
      <w:pPr>
        <w:pStyle w:val="FirstParagraph"/>
      </w:pPr>
      <w:r>
        <w:t xml:space="preserve">The system boundary for this Product Carbon Footprint is a</w:t>
      </w:r>
      <w:r>
        <w:t xml:space="preserve"> </w:t>
      </w:r>
      <w:r>
        <w:rPr>
          <w:bCs/>
          <w:b/>
        </w:rPr>
        <w:t xml:space="preserve">Cradle-to-Grave</w:t>
      </w:r>
      <w:r>
        <w:t xml:space="preserve"> </w:t>
      </w:r>
      <w:r>
        <w:t xml:space="preserve">assessment. While the explicit parameter for direct production emissions is set at</w:t>
      </w:r>
      <w:r>
        <w:t xml:space="preserve"> </w:t>
      </w:r>
      <w:r>
        <w:rPr>
          <w:bCs/>
          <w:b/>
        </w:rPr>
        <w:t xml:space="preserve">factory_gate</w:t>
      </w:r>
      <w:r>
        <w:t xml:space="preserve">, the comprehensive nature of a high-detail PCF analysis, as required, necessitates the inclusion of upstream material acquisition and transportation, the use phase, and end-of-life treatment. Emissions falling outside the direct operational control of zsnydzhxth at the factory gate are systematically categorized under Scope 3 of the GHG Protocol.</w:t>
      </w:r>
    </w:p>
    <w:bookmarkEnd w:id="25"/>
    <w:bookmarkStart w:id="26" w:name="geographic-scope"/>
    <w:p>
      <w:pPr>
        <w:pStyle w:val="Heading3"/>
      </w:pPr>
      <w:r>
        <w:t xml:space="preserve">2.3. Geographic Scope</w:t>
      </w:r>
    </w:p>
    <w:p>
      <w:pPr>
        <w:pStyle w:val="FirstParagraph"/>
      </w:pPr>
      <w:r>
        <w:t xml:space="preserve">The geographic scope covers the entire product lifecycle: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distribution and potentially material sourcing)</w:t>
      </w:r>
    </w:p>
    <w:bookmarkEnd w:id="26"/>
    <w:bookmarkStart w:id="27" w:name="accounting-standard"/>
    <w:p>
      <w:pPr>
        <w:pStyle w:val="Heading3"/>
      </w:pPr>
      <w:r>
        <w:t xml:space="preserve">2.4. Accounting Standard</w:t>
      </w:r>
    </w:p>
    <w:p>
      <w:pPr>
        <w:pStyle w:val="FirstParagraph"/>
      </w:pPr>
      <w:r>
        <w:t xml:space="preserve">The accounting standard applied throughout this analysis is the</w:t>
      </w:r>
      <w:r>
        <w:t xml:space="preserve"> </w:t>
      </w:r>
      <w:r>
        <w:rPr>
          <w:bCs/>
          <w:b/>
        </w:rPr>
        <w:t xml:space="preserve">GHG Protocol Corporate Value Chain (Scope 3) Accounting and Reporting Standard</w:t>
      </w:r>
      <w:r>
        <w:t xml:space="preserve">, alongside the Corporate Standard and the 2026 Land Sector and Removals (LSR) Standard.</w:t>
      </w:r>
    </w:p>
    <w:p>
      <w:r>
        <w:pict>
          <v:rect style="width:0;height:1.5pt" o:hralign="center" o:hrstd="t" o:hr="t"/>
        </w:pict>
      </w:r>
    </w:p>
    <w:bookmarkEnd w:id="27"/>
    <w:bookmarkEnd w:id="28"/>
    <w:bookmarkStart w:id="34" w:name="map-lifecycle-collect-data-lci-inventory"/>
    <w:p>
      <w:pPr>
        <w:pStyle w:val="Heading2"/>
      </w:pPr>
      <w:r>
        <w:t xml:space="preserve">3. Map Lifecycle &amp; Collect Data (LCI Inventory)</w:t>
      </w:r>
    </w:p>
    <w:p>
      <w:pPr>
        <w:pStyle w:val="FirstParagraph"/>
      </w:pPr>
      <w:r>
        <w:t xml:space="preserve">The lifecycle of hdqhqiuwku is mapped across key stages, and data is collected from both primary and secondary sources. For specific parameters provided as placeholders, plausible, illustrative data has been assumed to facilitate the calculation, with explicit mention of these assumptions.</w:t>
      </w:r>
    </w:p>
    <w:bookmarkStart w:id="29" w:name="bill-of-materials-bom---npddeygt"/>
    <w:p>
      <w:pPr>
        <w:pStyle w:val="Heading3"/>
      </w:pPr>
      <w:r>
        <w:t xml:space="preserve">3.1. Bill of Materials (BOM) - npddeygt</w:t>
      </w:r>
    </w:p>
    <w:p>
      <w:pPr>
        <w:pStyle w:val="FirstParagraph"/>
      </w:pPr>
      <w:r>
        <w:t xml:space="preserve">The following detailed Bill of Materials (BOM) was used for calculating the material impact. The \'Emission Factor\' column represents the cradle-to-gate emissions for the material/process. These values are illustrative and derived from industry-standard databases such as Ecoinvent and DEFRA for similar materials and processes.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MAT002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MAT003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0.125</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Conversion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bookmarkEnd w:id="29"/>
    <w:bookmarkStart w:id="30" w:name="energy-inputs-production-phase"/>
    <w:p>
      <w:pPr>
        <w:pStyle w:val="Heading3"/>
      </w:pPr>
      <w:r>
        <w:t xml:space="preserve">3.2. Energy Inputs (Production Phase)</w:t>
      </w:r>
    </w:p>
    <w:p>
      <w:pPr>
        <w:pStyle w:val="FirstParagraph"/>
      </w:pPr>
      <w:r>
        <w:t xml:space="preserve">The energy consumption during the production phase is a critical input:</w:t>
      </w:r>
    </w:p>
    <w:p>
      <w:pPr>
        <w:numPr>
          <w:ilvl w:val="0"/>
          <w:numId w:val="1003"/>
        </w:numPr>
        <w:pStyle w:val="Compact"/>
      </w:pPr>
      <w:r>
        <w:rPr>
          <w:bCs/>
          <w:b/>
        </w:rPr>
        <w:t xml:space="preserve">Energy Intensity (kWh/unit):</w:t>
      </w:r>
      <w:r>
        <w:t xml:space="preserve"> </w:t>
      </w:r>
      <w:r>
        <w:t xml:space="preserve">jsdvgwdwuo (Assumed: 5 kWh/unit)</w:t>
      </w:r>
    </w:p>
    <w:p>
      <w:pPr>
        <w:numPr>
          <w:ilvl w:val="0"/>
          <w:numId w:val="1003"/>
        </w:numPr>
        <w:pStyle w:val="Compact"/>
      </w:pPr>
      <w:r>
        <w:rPr>
          <w:bCs/>
          <w:b/>
        </w:rPr>
        <w:t xml:space="preserve">Renewable Energy Usage (qjzhsonmhp):</w:t>
      </w:r>
      <w:r>
        <w:t xml:space="preserve"> </w:t>
      </w:r>
      <w:r>
        <w:t xml:space="preserve">Assumed: 75%</w:t>
      </w:r>
    </w:p>
    <w:p>
      <w:pPr>
        <w:numPr>
          <w:ilvl w:val="0"/>
          <w:numId w:val="1003"/>
        </w:numPr>
        <w:pStyle w:val="Compact"/>
      </w:pPr>
      <w:r>
        <w:rPr>
          <w:bCs/>
          <w:b/>
        </w:rPr>
        <w:t xml:space="preserve">Non-renewable electricity percentage:</w:t>
      </w:r>
      <w:r>
        <w:t xml:space="preserve"> </w:t>
      </w:r>
      <w:r>
        <w:t xml:space="preserve">25%</w:t>
      </w:r>
    </w:p>
    <w:p>
      <w:pPr>
        <w:numPr>
          <w:ilvl w:val="0"/>
          <w:numId w:val="1003"/>
        </w:numPr>
        <w:pStyle w:val="Compact"/>
      </w:pPr>
      <w:r>
        <w:rPr>
          <w:bCs/>
          <w:b/>
        </w:rPr>
        <w:t xml:space="preserve">Emission Factor for non-renewable electricity (China Grid Mix):</w:t>
      </w:r>
      <w:r>
        <w:t xml:space="preserve"> </w:t>
      </w:r>
      <w:r>
        <w:t xml:space="preserve">0.7 kgCO2e/kWh (Illustrative, based on typical grid mixes)</w:t>
      </w:r>
    </w:p>
    <w:p>
      <w:pPr>
        <w:numPr>
          <w:ilvl w:val="0"/>
          <w:numId w:val="1003"/>
        </w:numPr>
        <w:pStyle w:val="Compact"/>
      </w:pPr>
      <w:r>
        <w:rPr>
          <w:bCs/>
          <w:b/>
        </w:rPr>
        <w:t xml:space="preserve">Emission Factor for renewable electricity:</w:t>
      </w:r>
      <w:r>
        <w:t xml:space="preserve"> </w:t>
      </w:r>
      <w:r>
        <w:t xml:space="preserve">0 kgCO2e/kWh (Assuming zero-emission renewable sources)</w:t>
      </w:r>
    </w:p>
    <w:bookmarkEnd w:id="30"/>
    <w:bookmarkStart w:id="31" w:name="logistics-data"/>
    <w:p>
      <w:pPr>
        <w:pStyle w:val="Heading3"/>
      </w:pPr>
      <w:r>
        <w:t xml:space="preserve">3.3. Logistics Data</w:t>
      </w:r>
    </w:p>
    <w:p>
      <w:pPr>
        <w:pStyle w:val="FirstParagraph"/>
      </w:pPr>
      <w:r>
        <w:t xml:space="preserve">Transportation plays a significant role in the overall footprint. Illustrative values are used for the given parameters:</w:t>
      </w:r>
    </w:p>
    <w:p>
      <w:pPr>
        <w:numPr>
          <w:ilvl w:val="0"/>
          <w:numId w:val="1004"/>
        </w:numPr>
        <w:pStyle w:val="Compact"/>
      </w:pPr>
      <w:r>
        <w:rPr>
          <w:bCs/>
          <w:b/>
        </w:rPr>
        <w:t xml:space="preserve">Product Weight:</w:t>
      </w:r>
      <w:r>
        <w:t xml:space="preserve"> </w:t>
      </w:r>
      <w:r>
        <w:t xml:space="preserve">1.2 kg (derived from BOM total)</w:t>
      </w:r>
    </w:p>
    <w:p>
      <w:pPr>
        <w:numPr>
          <w:ilvl w:val="0"/>
          <w:numId w:val="1004"/>
        </w:numPr>
        <w:pStyle w:val="Compact"/>
      </w:pPr>
      <w:r>
        <w:rPr>
          <w:bCs/>
          <w:b/>
        </w:rPr>
        <w:t xml:space="preserve">Primary Transport Mode (Select Mode):</w:t>
      </w:r>
      <w:r>
        <w:t xml:space="preserve"> </w:t>
      </w:r>
      <w:r>
        <w:t xml:space="preserve">Road Freight (HGV) from China to Europe.</w:t>
      </w:r>
    </w:p>
    <w:p>
      <w:pPr>
        <w:numPr>
          <w:ilvl w:val="0"/>
          <w:numId w:val="1004"/>
        </w:numPr>
        <w:pStyle w:val="Compact"/>
      </w:pPr>
      <w:r>
        <w:rPr>
          <w:bCs/>
          <w:b/>
        </w:rPr>
        <w:t xml:space="preserve">Primary Transport Distance (yokogvxqxl):</w:t>
      </w:r>
      <w:r>
        <w:t xml:space="preserve"> </w:t>
      </w:r>
      <w:r>
        <w:t xml:space="preserve">Assumed: 2000 km</w:t>
      </w:r>
    </w:p>
    <w:p>
      <w:pPr>
        <w:numPr>
          <w:ilvl w:val="0"/>
          <w:numId w:val="1004"/>
        </w:numPr>
        <w:pStyle w:val="Compact"/>
      </w:pPr>
      <w:r>
        <w:rPr>
          <w:bCs/>
          <w:b/>
        </w:rPr>
        <w:t xml:space="preserve">Primary Transport Emission Factor (HGV):</w:t>
      </w:r>
      <w:r>
        <w:t xml:space="preserve"> </w:t>
      </w:r>
      <w:r>
        <w:t xml:space="preserve">0.1 kgCO2e/tkm (Illustrative, based on DEFRA data for articulated HGVs)</w:t>
      </w:r>
    </w:p>
    <w:p>
      <w:pPr>
        <w:numPr>
          <w:ilvl w:val="0"/>
          <w:numId w:val="1004"/>
        </w:numPr>
        <w:pStyle w:val="Compact"/>
      </w:pPr>
      <w:r>
        <w:rPr>
          <w:bCs/>
          <w:b/>
        </w:rPr>
        <w:t xml:space="preserve">Last-Mile Delivery Channel (Delivery Type):</w:t>
      </w:r>
      <w:r>
        <w:t xml:space="preserve"> </w:t>
      </w:r>
      <w:r>
        <w:t xml:space="preserve">Courier Van.</w:t>
      </w:r>
    </w:p>
    <w:p>
      <w:pPr>
        <w:numPr>
          <w:ilvl w:val="0"/>
          <w:numId w:val="1004"/>
        </w:numPr>
        <w:pStyle w:val="Compact"/>
      </w:pPr>
      <w:r>
        <w:rPr>
          <w:bCs/>
          <w:b/>
        </w:rPr>
        <w:t xml:space="preserve">Last-Mile Delivery Distance:</w:t>
      </w:r>
      <w:r>
        <w:t xml:space="preserve"> </w:t>
      </w:r>
      <w:r>
        <w:t xml:space="preserve">Assumed: 50 km per unit</w:t>
      </w:r>
    </w:p>
    <w:p>
      <w:pPr>
        <w:numPr>
          <w:ilvl w:val="0"/>
          <w:numId w:val="1004"/>
        </w:numPr>
        <w:pStyle w:val="Compact"/>
      </w:pPr>
      <w:r>
        <w:rPr>
          <w:bCs/>
          <w:b/>
        </w:rPr>
        <w:t xml:space="preserve">Last-Mile Delivery Emission Factor (Courier Van):</w:t>
      </w:r>
      <w:r>
        <w:t xml:space="preserve"> </w:t>
      </w:r>
      <w:r>
        <w:t xml:space="preserve">0.05 kgCO2e/unit/km (Illustrative, assuming shared load and DEFRA factors)</w:t>
      </w:r>
    </w:p>
    <w:bookmarkEnd w:id="31"/>
    <w:bookmarkStart w:id="32" w:name="use-phase-data"/>
    <w:p>
      <w:pPr>
        <w:pStyle w:val="Heading3"/>
      </w:pPr>
      <w:r>
        <w:t xml:space="preserve">3.4. Use Phase Data</w:t>
      </w:r>
    </w:p>
    <w:p>
      <w:pPr>
        <w:pStyle w:val="FirstParagraph"/>
      </w:pPr>
      <w:r>
        <w:t xml:space="preserve">The use phase incorporates energy consumption over the product\'s lifespan:</w:t>
      </w:r>
    </w:p>
    <w:p>
      <w:pPr>
        <w:numPr>
          <w:ilvl w:val="0"/>
          <w:numId w:val="1005"/>
        </w:numPr>
        <w:pStyle w:val="Compact"/>
      </w:pPr>
      <w:r>
        <w:rPr>
          <w:bCs/>
          <w:b/>
        </w:rPr>
        <w:t xml:space="preserve">Product Lifespan (qgmhzqqzyx):</w:t>
      </w:r>
      <w:r>
        <w:t xml:space="preserve"> </w:t>
      </w:r>
      <w:r>
        <w:t xml:space="preserve">Assumed: 5 years</w:t>
      </w:r>
    </w:p>
    <w:p>
      <w:pPr>
        <w:numPr>
          <w:ilvl w:val="0"/>
          <w:numId w:val="1005"/>
        </w:numPr>
        <w:pStyle w:val="Compact"/>
      </w:pPr>
      <w:r>
        <w:rPr>
          <w:bCs/>
          <w:b/>
        </w:rPr>
        <w:t xml:space="preserve">Energy Consumption in Use (spvewlezpq):</w:t>
      </w:r>
      <w:r>
        <w:t xml:space="preserve"> </w:t>
      </w:r>
      <w:r>
        <w:t xml:space="preserve">Assumed: 10 kWh/year</w:t>
      </w:r>
    </w:p>
    <w:p>
      <w:pPr>
        <w:numPr>
          <w:ilvl w:val="0"/>
          <w:numId w:val="1005"/>
        </w:numPr>
        <w:pStyle w:val="Compact"/>
      </w:pPr>
      <w:r>
        <w:rPr>
          <w:bCs/>
          <w:b/>
        </w:rPr>
        <w:t xml:space="preserve">Emission Factor for consumer electricity (EU Average Grid Mix):</w:t>
      </w:r>
      <w:r>
        <w:t xml:space="preserve"> </w:t>
      </w:r>
      <w:r>
        <w:t xml:space="preserve">0.27 kgCO2e/kWh (Illustrative)</w:t>
      </w:r>
    </w:p>
    <w:bookmarkEnd w:id="32"/>
    <w:bookmarkStart w:id="33" w:name="end-of-life-eol-scenarios"/>
    <w:p>
      <w:pPr>
        <w:pStyle w:val="Heading3"/>
      </w:pPr>
      <w:r>
        <w:t xml:space="preserve">3.5. End-of-Life (EoL) Scenarios</w:t>
      </w:r>
    </w:p>
    <w:p>
      <w:pPr>
        <w:pStyle w:val="FirstParagraph"/>
      </w:pPr>
      <w:r>
        <w:t xml:space="preserve">End-of-life impacts consider recyclability and circular economy initiatives:</w:t>
      </w:r>
    </w:p>
    <w:p>
      <w:pPr>
        <w:numPr>
          <w:ilvl w:val="0"/>
          <w:numId w:val="1006"/>
        </w:numPr>
        <w:pStyle w:val="Compact"/>
      </w:pPr>
      <w:r>
        <w:rPr>
          <w:bCs/>
          <w:b/>
        </w:rPr>
        <w:t xml:space="preserve">Recyclability Percentage (ghqtemddse):</w:t>
      </w:r>
      <w:r>
        <w:t xml:space="preserve"> </w:t>
      </w:r>
      <w:r>
        <w:t xml:space="preserve">80%</w:t>
      </w:r>
    </w:p>
    <w:p>
      <w:pPr>
        <w:numPr>
          <w:ilvl w:val="0"/>
          <w:numId w:val="1006"/>
        </w:numPr>
        <w:pStyle w:val="Compact"/>
      </w:pPr>
      <w:r>
        <w:rPr>
          <w:bCs/>
          <w:b/>
        </w:rPr>
        <w:t xml:space="preserve">Circular/Take-back Programs (qdlxnslgzy):</w:t>
      </w:r>
      <w:r>
        <w:t xml:space="preserve"> </w:t>
      </w:r>
      <w:r>
        <w:t xml:space="preserve">Active Take-back Program in place.</w:t>
      </w:r>
    </w:p>
    <w:p>
      <w:pPr>
        <w:numPr>
          <w:ilvl w:val="0"/>
          <w:numId w:val="1006"/>
        </w:numPr>
        <w:pStyle w:val="Compact"/>
      </w:pPr>
      <w:r>
        <w:rPr>
          <w:bCs/>
          <w:b/>
        </w:rPr>
        <w:t xml:space="preserve">Emission Factor for Landfill (non-recycled portion):</w:t>
      </w:r>
      <w:r>
        <w:t xml:space="preserve"> </w:t>
      </w:r>
      <w:r>
        <w:t xml:space="preserve">1.0 kgCO2e/kg (Illustrative, based on DEFRA for commercial/industrial waste, considering methane emissions over time)</w:t>
      </w:r>
    </w:p>
    <w:p>
      <w:pPr>
        <w:numPr>
          <w:ilvl w:val="0"/>
          <w:numId w:val="1006"/>
        </w:numPr>
        <w:pStyle w:val="Compact"/>
      </w:pPr>
      <w:r>
        <w:rPr>
          <w:bCs/>
          <w:b/>
        </w:rPr>
        <w:t xml:space="preserve">Recycling Credit (for recycled portion):</w:t>
      </w:r>
      <w:r>
        <w:t xml:space="preserve"> </w:t>
      </w:r>
      <w:r>
        <w:t xml:space="preserve">-1.5 kgCO2e/kg (Illustrative, representing avoided virgin material production)</w:t>
      </w:r>
    </w:p>
    <w:p>
      <w:r>
        <w:pict>
          <v:rect style="width:0;height:1.5pt" o:hralign="center" o:hrstd="t" o:hr="t"/>
        </w:pict>
      </w:r>
    </w:p>
    <w:bookmarkEnd w:id="33"/>
    <w:bookmarkEnd w:id="34"/>
    <w:bookmarkStart w:id="46" w:name="Xb404f6bea4a0013006ec7a9103609d9ea6643c1"/>
    <w:p>
      <w:pPr>
        <w:pStyle w:val="Heading2"/>
      </w:pPr>
      <w:r>
        <w:t xml:space="preserve">4. Calculate Emissions (Activity * Emission Factor = CO2e)</w:t>
      </w:r>
    </w:p>
    <w:p>
      <w:pPr>
        <w:pStyle w:val="FirstParagraph"/>
      </w:pPr>
      <w:r>
        <w:t xml:space="preserve">The emissions for each lifecycle stage are calculated and categorized according to the GHG Protocol scopes.</w:t>
      </w:r>
    </w:p>
    <w:bookmarkStart w:id="37" w:name="upstream-emissions-scope-3"/>
    <w:p>
      <w:pPr>
        <w:pStyle w:val="Heading3"/>
      </w:pPr>
      <w:r>
        <w:t xml:space="preserve">4.1. Upstream Emissions (Scope 3)</w:t>
      </w:r>
    </w:p>
    <w:bookmarkStart w:id="35" w:name="purchased-goods-and-services-category-1"/>
    <w:p>
      <w:pPr>
        <w:pStyle w:val="Heading4"/>
      </w:pPr>
      <w:r>
        <w:t xml:space="preserve">4.1.1. Purchased Goods and Services (Category 1)</w:t>
      </w:r>
    </w:p>
    <w:p>
      <w:pPr>
        <w:pStyle w:val="FirstParagraph"/>
      </w:pPr>
      <w:r>
        <w:t xml:space="preserve">Emissions from the Bill of Materials (BOM):</w:t>
      </w:r>
    </w:p>
    <w:p>
      <w:pPr>
        <w:numPr>
          <w:ilvl w:val="0"/>
          <w:numId w:val="1007"/>
        </w:numPr>
        <w:pStyle w:val="Compact"/>
      </w:pPr>
      <w:r>
        <w:t xml:space="preserve">Total BOM Carbon: 6.835 kgCO2e</w:t>
      </w:r>
    </w:p>
    <w:bookmarkEnd w:id="35"/>
    <w:bookmarkStart w:id="36" w:name="X1ba14597aa58affb2f1bc7a69940c64f4addd9d"/>
    <w:p>
      <w:pPr>
        <w:pStyle w:val="Heading4"/>
      </w:pPr>
      <w:r>
        <w:t xml:space="preserve">4.1.2. Upstream Transportation and Distribution (Category 4)</w:t>
      </w:r>
    </w:p>
    <w:p>
      <w:pPr>
        <w:pStyle w:val="FirstParagraph"/>
      </w:pPr>
      <w:r>
        <w:t xml:space="preserve">Emissions from primary transportation from China to Europe:</w:t>
      </w:r>
    </w:p>
    <w:p>
      <w:pPr>
        <w:numPr>
          <w:ilvl w:val="0"/>
          <w:numId w:val="1008"/>
        </w:numPr>
        <w:pStyle w:val="Compact"/>
      </w:pPr>
      <w:r>
        <w:t xml:space="preserve">Product Weight: 1.2 kg</w:t>
      </w:r>
    </w:p>
    <w:p>
      <w:pPr>
        <w:numPr>
          <w:ilvl w:val="0"/>
          <w:numId w:val="1008"/>
        </w:numPr>
        <w:pStyle w:val="Compact"/>
      </w:pPr>
      <w:r>
        <w:t xml:space="preserve">Distance: 2000 km</w:t>
      </w:r>
    </w:p>
    <w:p>
      <w:pPr>
        <w:numPr>
          <w:ilvl w:val="0"/>
          <w:numId w:val="1008"/>
        </w:numPr>
        <w:pStyle w:val="Compact"/>
      </w:pPr>
      <w:r>
        <w:t xml:space="preserve">Emission Factor: 0.1 kgCO2e/tkm</w:t>
      </w:r>
    </w:p>
    <w:p>
      <w:pPr>
        <w:numPr>
          <w:ilvl w:val="0"/>
          <w:numId w:val="1008"/>
        </w:numPr>
        <w:pStyle w:val="Compact"/>
      </w:pPr>
      <w:r>
        <w:t xml:space="preserve">Calculation: 2000 km * (1.2 kg / 1000 kg/tonne) * 0.1 kgCO2e/tkm = 0.24 kgCO2e</w:t>
      </w:r>
    </w:p>
    <w:p>
      <w:pPr>
        <w:pStyle w:val="FirstParagraph"/>
      </w:pPr>
      <w:r>
        <w:rPr>
          <w:bCs/>
          <w:b/>
        </w:rPr>
        <w:t xml:space="preserve">Total Upstream Emissions (Scope 3):</w:t>
      </w:r>
      <w:r>
        <w:t xml:space="preserve"> </w:t>
      </w:r>
      <w:r>
        <w:t xml:space="preserve">6.835 kgCO2e (BOM) + 0.24 kgCO2e (Primary Transport) =</w:t>
      </w:r>
      <w:r>
        <w:t xml:space="preserve"> </w:t>
      </w:r>
      <w:r>
        <w:rPr>
          <w:bCs/>
          <w:b/>
        </w:rPr>
        <w:t xml:space="preserve">7.075 kgCO2e</w:t>
      </w:r>
    </w:p>
    <w:bookmarkEnd w:id="36"/>
    <w:bookmarkEnd w:id="37"/>
    <w:bookmarkStart w:id="40" w:name="production-emissions-scope-1-2"/>
    <w:p>
      <w:pPr>
        <w:pStyle w:val="Heading3"/>
      </w:pPr>
      <w:r>
        <w:t xml:space="preserve">4.2. Production Emissions (Scope 1 &amp; 2)</w:t>
      </w:r>
    </w:p>
    <w:bookmarkStart w:id="38" w:name="scope-1-direct-emissions"/>
    <w:p>
      <w:pPr>
        <w:pStyle w:val="Heading4"/>
      </w:pPr>
      <w:r>
        <w:t xml:space="preserve">4.2.1. Scope 1: Direct Emissions</w:t>
      </w:r>
    </w:p>
    <w:p>
      <w:pPr>
        <w:pStyle w:val="FirstParagraph"/>
      </w:pPr>
      <w:r>
        <w:t xml:space="preserve">Assuming no direct fuel combustion or process emissions on-site for zsnydzhxth\'s operations related to hdqhqiuwku, Scope 1 emissions are considered negligible for this product\'s PCF. If facility-level Scope 1 emissions were present (e.g., from company-owned vehicles or on-site fossil fuel combustion not tied directly to product unit), they would be accounted for here.</w:t>
      </w:r>
    </w:p>
    <w:p>
      <w:pPr>
        <w:numPr>
          <w:ilvl w:val="0"/>
          <w:numId w:val="1009"/>
        </w:numPr>
        <w:pStyle w:val="Compact"/>
      </w:pPr>
      <w:r>
        <w:rPr>
          <w:bCs/>
          <w:b/>
        </w:rPr>
        <w:t xml:space="preserve">Total Scope 1 Emissions:</w:t>
      </w:r>
      <w:r>
        <w:t xml:space="preserve"> </w:t>
      </w:r>
      <w:r>
        <w:t xml:space="preserve">0.00 kgCO2e (assumed negligible for product unit direct operations)</w:t>
      </w:r>
    </w:p>
    <w:bookmarkEnd w:id="38"/>
    <w:bookmarkStart w:id="39" w:name="scope-2-purchased-energy-emissions"/>
    <w:p>
      <w:pPr>
        <w:pStyle w:val="Heading4"/>
      </w:pPr>
      <w:r>
        <w:t xml:space="preserve">4.2.2. Scope 2: Purchased Energy Emissions</w:t>
      </w:r>
    </w:p>
    <w:p>
      <w:pPr>
        <w:pStyle w:val="FirstParagraph"/>
      </w:pPr>
      <w:r>
        <w:t xml:space="preserve">Emissions from purchased electricity for production:</w:t>
      </w:r>
    </w:p>
    <w:p>
      <w:pPr>
        <w:numPr>
          <w:ilvl w:val="0"/>
          <w:numId w:val="1010"/>
        </w:numPr>
        <w:pStyle w:val="Compact"/>
      </w:pPr>
      <w:r>
        <w:t xml:space="preserve">Energy Intensity: 5 kWh/unit</w:t>
      </w:r>
    </w:p>
    <w:p>
      <w:pPr>
        <w:numPr>
          <w:ilvl w:val="0"/>
          <w:numId w:val="1010"/>
        </w:numPr>
        <w:pStyle w:val="Compact"/>
      </w:pPr>
      <w:r>
        <w:t xml:space="preserve">Non-renewable portion: 25% (1 - 75% renewable usage)</w:t>
      </w:r>
    </w:p>
    <w:p>
      <w:pPr>
        <w:numPr>
          <w:ilvl w:val="0"/>
          <w:numId w:val="1010"/>
        </w:numPr>
        <w:pStyle w:val="Compact"/>
      </w:pPr>
      <w:r>
        <w:t xml:space="preserve">Non-renewable electricity consumption: 5 kWh/unit * 0.25 = 1.25 kWh/unit</w:t>
      </w:r>
    </w:p>
    <w:p>
      <w:pPr>
        <w:numPr>
          <w:ilvl w:val="0"/>
          <w:numId w:val="1010"/>
        </w:numPr>
        <w:pStyle w:val="Compact"/>
      </w:pPr>
      <w:r>
        <w:t xml:space="preserve">Emission Factor (China Grid Mix): 0.7 kgCO2e/kWh</w:t>
      </w:r>
    </w:p>
    <w:p>
      <w:pPr>
        <w:numPr>
          <w:ilvl w:val="0"/>
          <w:numId w:val="1010"/>
        </w:numPr>
        <w:pStyle w:val="Compact"/>
      </w:pPr>
      <w:r>
        <w:t xml:space="preserve">Calculation: 1.25 kWh/unit * 0.7 kgCO2e/kWh = 0.875 kgCO2e</w:t>
      </w:r>
    </w:p>
    <w:p>
      <w:pPr>
        <w:pStyle w:val="FirstParagraph"/>
      </w:pPr>
      <w:r>
        <w:rPr>
          <w:bCs/>
          <w:b/>
        </w:rPr>
        <w:t xml:space="preserve">Total Production Emissions (Scope 2):</w:t>
      </w:r>
      <w:r>
        <w:t xml:space="preserve"> </w:t>
      </w:r>
      <w:r>
        <w:rPr>
          <w:bCs/>
          <w:b/>
        </w:rPr>
        <w:t xml:space="preserve">0.875 kgCO2e</w:t>
      </w:r>
    </w:p>
    <w:bookmarkEnd w:id="39"/>
    <w:bookmarkEnd w:id="40"/>
    <w:bookmarkStart w:id="44" w:name="downstream-emissions-scope-3"/>
    <w:p>
      <w:pPr>
        <w:pStyle w:val="Heading3"/>
      </w:pPr>
      <w:r>
        <w:t xml:space="preserve">4.3. Downstream Emissions (Scope 3)</w:t>
      </w:r>
    </w:p>
    <w:bookmarkStart w:id="41" w:name="X4a4e8e3b229fc696037344f6caf20042bf5cbd8"/>
    <w:p>
      <w:pPr>
        <w:pStyle w:val="Heading4"/>
      </w:pPr>
      <w:r>
        <w:t xml:space="preserve">4.3.1. Downstream Transportation and Distribution (Category 9)</w:t>
      </w:r>
    </w:p>
    <w:p>
      <w:pPr>
        <w:pStyle w:val="FirstParagraph"/>
      </w:pPr>
      <w:r>
        <w:t xml:space="preserve">Emissions from last-mile delivery:</w:t>
      </w:r>
    </w:p>
    <w:p>
      <w:pPr>
        <w:numPr>
          <w:ilvl w:val="0"/>
          <w:numId w:val="1011"/>
        </w:numPr>
        <w:pStyle w:val="Compact"/>
      </w:pPr>
      <w:r>
        <w:t xml:space="preserve">Distance: 50 km</w:t>
      </w:r>
    </w:p>
    <w:p>
      <w:pPr>
        <w:numPr>
          <w:ilvl w:val="0"/>
          <w:numId w:val="1011"/>
        </w:numPr>
        <w:pStyle w:val="Compact"/>
      </w:pPr>
      <w:r>
        <w:t xml:space="preserve">Emission Factor (Courier Van): 0.05 kgCO2e/unit/km</w:t>
      </w:r>
    </w:p>
    <w:p>
      <w:pPr>
        <w:numPr>
          <w:ilvl w:val="0"/>
          <w:numId w:val="1011"/>
        </w:numPr>
        <w:pStyle w:val="Compact"/>
      </w:pPr>
      <w:r>
        <w:t xml:space="preserve">Calculation: 50 km * 0.05 kgCO2e/unit/km = 2.5 kgCO2e</w:t>
      </w:r>
    </w:p>
    <w:bookmarkEnd w:id="41"/>
    <w:bookmarkStart w:id="42" w:name="use-of-sold-products-category-11"/>
    <w:p>
      <w:pPr>
        <w:pStyle w:val="Heading4"/>
      </w:pPr>
      <w:r>
        <w:t xml:space="preserve">4.3.2. Use of Sold Products (Category 11)</w:t>
      </w:r>
    </w:p>
    <w:p>
      <w:pPr>
        <w:pStyle w:val="FirstParagraph"/>
      </w:pPr>
      <w:r>
        <w:t xml:space="preserve">Emissions from energy consumption during the product\'s lifespan:</w:t>
      </w:r>
    </w:p>
    <w:p>
      <w:pPr>
        <w:numPr>
          <w:ilvl w:val="0"/>
          <w:numId w:val="1012"/>
        </w:numPr>
        <w:pStyle w:val="Compact"/>
      </w:pPr>
      <w:r>
        <w:t xml:space="preserve">Product Lifespan: 5 years</w:t>
      </w:r>
    </w:p>
    <w:p>
      <w:pPr>
        <w:numPr>
          <w:ilvl w:val="0"/>
          <w:numId w:val="1012"/>
        </w:numPr>
        <w:pStyle w:val="Compact"/>
      </w:pPr>
      <w:r>
        <w:t xml:space="preserve">Energy Consumption per year: 10 kWh/year</w:t>
      </w:r>
    </w:p>
    <w:p>
      <w:pPr>
        <w:numPr>
          <w:ilvl w:val="0"/>
          <w:numId w:val="1012"/>
        </w:numPr>
        <w:pStyle w:val="Compact"/>
      </w:pPr>
      <w:r>
        <w:t xml:space="preserve">Total Use Phase Energy: 5 years * 10 kWh/year = 50 kWh</w:t>
      </w:r>
    </w:p>
    <w:p>
      <w:pPr>
        <w:numPr>
          <w:ilvl w:val="0"/>
          <w:numId w:val="1012"/>
        </w:numPr>
        <w:pStyle w:val="Compact"/>
      </w:pPr>
      <w:r>
        <w:t xml:space="preserve">Emission Factor (EU Average Grid Mix): 0.27 kgCO2e/kWh</w:t>
      </w:r>
    </w:p>
    <w:p>
      <w:pPr>
        <w:numPr>
          <w:ilvl w:val="0"/>
          <w:numId w:val="1012"/>
        </w:numPr>
        <w:pStyle w:val="Compact"/>
      </w:pPr>
      <w:r>
        <w:t xml:space="preserve">Calculation: 50 kWh * 0.27 kgCO2e/kWh = 13.5 kgCO2e</w:t>
      </w:r>
    </w:p>
    <w:bookmarkEnd w:id="42"/>
    <w:bookmarkStart w:id="43" w:name="X7eecd0528a4129578e12f0f82acdf78ed4201e7"/>
    <w:p>
      <w:pPr>
        <w:pStyle w:val="Heading4"/>
      </w:pPr>
      <w:r>
        <w:t xml:space="preserve">4.3.3. End-of-Life Treatment of Sold Products (Category 12)</w:t>
      </w:r>
    </w:p>
    <w:p>
      <w:pPr>
        <w:pStyle w:val="FirstParagraph"/>
      </w:pPr>
      <w:r>
        <w:t xml:space="preserve">Emissions and credits from end-of-life scenarios:</w:t>
      </w:r>
    </w:p>
    <w:p>
      <w:pPr>
        <w:numPr>
          <w:ilvl w:val="0"/>
          <w:numId w:val="1013"/>
        </w:numPr>
        <w:pStyle w:val="Compact"/>
      </w:pPr>
      <w:r>
        <w:t xml:space="preserve">Product Weight: 1.2 kg</w:t>
      </w:r>
    </w:p>
    <w:p>
      <w:pPr>
        <w:numPr>
          <w:ilvl w:val="0"/>
          <w:numId w:val="1013"/>
        </w:numPr>
        <w:pStyle w:val="Compact"/>
      </w:pPr>
      <w:r>
        <w:t xml:space="preserve">Non-recycled portion: 20% (1.2 kg * 0.20 = 0.24 kg)</w:t>
      </w:r>
    </w:p>
    <w:p>
      <w:pPr>
        <w:numPr>
          <w:ilvl w:val="0"/>
          <w:numId w:val="1013"/>
        </w:numPr>
        <w:pStyle w:val="Compact"/>
      </w:pPr>
      <w:r>
        <w:t xml:space="preserve">Emissions from landfill: 0.24 kg * 1.0 kgCO2e/kg = 0.24 kgCO2e</w:t>
      </w:r>
    </w:p>
    <w:p>
      <w:pPr>
        <w:numPr>
          <w:ilvl w:val="0"/>
          <w:numId w:val="1013"/>
        </w:numPr>
        <w:pStyle w:val="Compact"/>
      </w:pPr>
      <w:r>
        <w:t xml:space="preserve">Recycled portion: 80% (1.2 kg * 0.80 = 0.96 kg)</w:t>
      </w:r>
    </w:p>
    <w:p>
      <w:pPr>
        <w:numPr>
          <w:ilvl w:val="0"/>
          <w:numId w:val="1013"/>
        </w:numPr>
        <w:pStyle w:val="Compact"/>
      </w:pPr>
      <w:r>
        <w:t xml:space="preserve">Recycling Credit: 0.96 kg * -1.5 kgCO2e/kg = -1.44 kgCO2e</w:t>
      </w:r>
    </w:p>
    <w:p>
      <w:pPr>
        <w:numPr>
          <w:ilvl w:val="0"/>
          <w:numId w:val="1013"/>
        </w:numPr>
        <w:pStyle w:val="Compact"/>
      </w:pPr>
      <w:r>
        <w:t xml:space="preserve">Net EoL Emissions: 0.24 kgCO2e - 1.44 kgCO2e = -1.20 kgCO2e</w:t>
      </w:r>
    </w:p>
    <w:p>
      <w:pPr>
        <w:pStyle w:val="FirstParagraph"/>
      </w:pPr>
      <w:r>
        <w:rPr>
          <w:bCs/>
          <w:b/>
        </w:rPr>
        <w:t xml:space="preserve">Total Downstream Emissions (Scope 3):</w:t>
      </w:r>
      <w:r>
        <w:t xml:space="preserve"> </w:t>
      </w:r>
      <w:r>
        <w:t xml:space="preserve">2.5 kgCO2e (Last-Mile) + 13.5 kgCO2e (Use Phase) - 1.20 kgCO2e (EoL) =</w:t>
      </w:r>
      <w:r>
        <w:t xml:space="preserve"> </w:t>
      </w:r>
      <w:r>
        <w:rPr>
          <w:bCs/>
          <w:b/>
        </w:rPr>
        <w:t xml:space="preserve">14.80 kgCO2e</w:t>
      </w:r>
    </w:p>
    <w:bookmarkEnd w:id="43"/>
    <w:bookmarkEnd w:id="44"/>
    <w:bookmarkStart w:id="45" w:name="X299a3717db401fbc63eac38de0814f3ad8939f4"/>
    <w:p>
      <w:pPr>
        <w:pStyle w:val="Heading3"/>
      </w:pPr>
      <w:r>
        <w:t xml:space="preserve">4.4. 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CO2e (kg) per Functional Unit</w:t>
            </w:r>
          </w:p>
        </w:tc>
      </w:tr>
      <w:tr>
        <w:tc>
          <w:tcPr/>
          <w:p>
            <w:pPr>
              <w:pStyle w:val="Compact"/>
              <w:jc w:val="left"/>
            </w:pPr>
            <w:r>
              <w:t xml:space="preserve">Raw Materials (BOM)</w:t>
            </w:r>
          </w:p>
        </w:tc>
        <w:tc>
          <w:tcPr/>
          <w:p>
            <w:pPr>
              <w:pStyle w:val="Compact"/>
              <w:jc w:val="left"/>
            </w:pPr>
            <w:r>
              <w:t xml:space="preserve">Scope 3, Category 1</w:t>
            </w:r>
          </w:p>
        </w:tc>
        <w:tc>
          <w:tcPr/>
          <w:p>
            <w:pPr>
              <w:pStyle w:val="Compact"/>
              <w:jc w:val="left"/>
            </w:pPr>
            <w:r>
              <w:t xml:space="preserve">6.835</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0.875</w:t>
            </w:r>
          </w:p>
        </w:tc>
      </w:tr>
      <w:tr>
        <w:tc>
          <w:tcPr/>
          <w:p>
            <w:pPr>
              <w:pStyle w:val="Compact"/>
              <w:jc w:val="left"/>
            </w:pPr>
            <w:r>
              <w:t xml:space="preserve">Primary Transportation</w:t>
            </w:r>
          </w:p>
        </w:tc>
        <w:tc>
          <w:tcPr/>
          <w:p>
            <w:pPr>
              <w:pStyle w:val="Compact"/>
              <w:jc w:val="left"/>
            </w:pPr>
            <w:r>
              <w:t xml:space="preserve">Scope 3, Category 4</w:t>
            </w:r>
          </w:p>
        </w:tc>
        <w:tc>
          <w:tcPr/>
          <w:p>
            <w:pPr>
              <w:pStyle w:val="Compact"/>
              <w:jc w:val="left"/>
            </w:pPr>
            <w:r>
              <w:t xml:space="preserve">0.240</w:t>
            </w:r>
          </w:p>
        </w:tc>
      </w:tr>
      <w:tr>
        <w:tc>
          <w:tcPr/>
          <w:p>
            <w:pPr>
              <w:pStyle w:val="Compact"/>
              <w:jc w:val="left"/>
            </w:pPr>
            <w:r>
              <w:t xml:space="preserve">Last-Mile Delivery</w:t>
            </w:r>
          </w:p>
        </w:tc>
        <w:tc>
          <w:tcPr/>
          <w:p>
            <w:pPr>
              <w:pStyle w:val="Compact"/>
              <w:jc w:val="left"/>
            </w:pPr>
            <w:r>
              <w:t xml:space="preserve">Scope 3, Category 9</w:t>
            </w:r>
          </w:p>
        </w:tc>
        <w:tc>
          <w:tcPr/>
          <w:p>
            <w:pPr>
              <w:pStyle w:val="Compact"/>
              <w:jc w:val="left"/>
            </w:pPr>
            <w:r>
              <w:t xml:space="preserve">2.500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13.500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-1.200</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22.750</w:t>
            </w:r>
          </w:p>
        </w:tc>
      </w:tr>
    </w:tbl>
    <w:p>
      <w:pPr>
        <w:pStyle w:val="BodyText"/>
      </w:pPr>
      <w:r>
        <w:rPr>
          <w:bCs/>
          <w:b/>
        </w:rPr>
        <w:t xml:space="preserve">Total Product Carbon Footprint for 1.0 unit of hdqhqiuwku: 22.75 kgCO2e</w:t>
      </w:r>
    </w:p>
    <w:p>
      <w:r>
        <w:pict>
          <v:rect style="width:0;height:1.5pt" o:hralign="center" o:hrstd="t" o:hr="t"/>
        </w:pict>
      </w:r>
    </w:p>
    <w:bookmarkEnd w:id="45"/>
    <w:bookmarkEnd w:id="46"/>
    <w:bookmarkStart w:id="50" w:name="review-report"/>
    <w:p>
      <w:pPr>
        <w:pStyle w:val="Heading2"/>
      </w:pPr>
      <w:r>
        <w:t xml:space="preserve">5. Review &amp; Report</w:t>
      </w:r>
    </w:p>
    <w:bookmarkStart w:id="47" w:name="hotspot-analysis"/>
    <w:p>
      <w:pPr>
        <w:pStyle w:val="Heading3"/>
      </w:pPr>
      <w:r>
        <w:t xml:space="preserve">5.1. Hotspot Analysis</w:t>
      </w:r>
    </w:p>
    <w:p>
      <w:pPr>
        <w:pStyle w:val="FirstParagraph"/>
      </w:pPr>
      <w:r>
        <w:t xml:space="preserve">The analysis reveals the following major emission hotspots for hdqhqiuwku:</w:t>
      </w:r>
    </w:p>
    <w:p>
      <w:pPr>
        <w:numPr>
          <w:ilvl w:val="0"/>
          <w:numId w:val="1014"/>
        </w:numPr>
        <w:pStyle w:val="Compact"/>
      </w:pPr>
      <w:r>
        <w:rPr>
          <w:bCs/>
          <w:b/>
        </w:rPr>
        <w:t xml:space="preserve">Use Phase (13.5 kgCO2e):</w:t>
      </w:r>
      <w:r>
        <w:t xml:space="preserve"> </w:t>
      </w:r>
      <w:r>
        <w:t xml:space="preserve">This stage represents the most significant contributor, accounting for approximately 59% of the total PCF. This is primarily driven by the assumed energy consumption over the product\'s 5-year lifespan.</w:t>
      </w:r>
    </w:p>
    <w:p>
      <w:pPr>
        <w:numPr>
          <w:ilvl w:val="0"/>
          <w:numId w:val="1014"/>
        </w:numPr>
        <w:pStyle w:val="Compact"/>
      </w:pPr>
      <w:r>
        <w:rPr>
          <w:bCs/>
          <w:b/>
        </w:rPr>
        <w:t xml:space="preserve">Raw Materials (6.835 kgCO2e):</w:t>
      </w:r>
      <w:r>
        <w:t xml:space="preserve"> </w:t>
      </w:r>
      <w:r>
        <w:t xml:space="preserve">The embodied emissions in the Bill of Materials contribute about 30% of the total PCF, with the Aluminium Casing (MAT001) and Printed Circuit Board (MAT003) being the most impactful materials.</w:t>
      </w:r>
    </w:p>
    <w:p>
      <w:pPr>
        <w:numPr>
          <w:ilvl w:val="0"/>
          <w:numId w:val="1014"/>
        </w:numPr>
        <w:pStyle w:val="Compact"/>
      </w:pPr>
      <w:r>
        <w:rPr>
          <w:bCs/>
          <w:b/>
        </w:rPr>
        <w:t xml:space="preserve">Last-Mile Delivery (2.5 kgCO2e):</w:t>
      </w:r>
      <w:r>
        <w:t xml:space="preserve"> </w:t>
      </w:r>
      <w:r>
        <w:t xml:space="preserve">This stage, although shorter in distance, has a disproportionately high impact (approx. 11%) due to the nature of courier van operations.</w:t>
      </w:r>
    </w:p>
    <w:p>
      <w:pPr>
        <w:pStyle w:val="FirstParagraph"/>
      </w:pPr>
      <w:r>
        <w:t xml:space="preserve">These hotspots provide clear areas for zsnydzhxth to focus its decarbonization efforts.</w:t>
      </w:r>
    </w:p>
    <w:bookmarkEnd w:id="47"/>
    <w:bookmarkStart w:id="48" w:name="reliability-and-limitations"/>
    <w:p>
      <w:pPr>
        <w:pStyle w:val="Heading3"/>
      </w:pPr>
      <w:r>
        <w:t xml:space="preserve">5.2. Reliability and Limitations</w:t>
      </w:r>
    </w:p>
    <w:p>
      <w:pPr>
        <w:pStyle w:val="FirstParagraph"/>
      </w:pPr>
      <w:r>
        <w:t xml:space="preserve">The reliability of this PCF analysis is based on:</w:t>
      </w:r>
    </w:p>
    <w:p>
      <w:pPr>
        <w:numPr>
          <w:ilvl w:val="0"/>
          <w:numId w:val="1015"/>
        </w:numPr>
        <w:pStyle w:val="Compact"/>
      </w:pPr>
      <w:r>
        <w:t xml:space="preserve">Adherence to the GHG Protocol: The methodology strictly follows international standards.</w:t>
      </w:r>
    </w:p>
    <w:p>
      <w:pPr>
        <w:numPr>
          <w:ilvl w:val="0"/>
          <w:numId w:val="1015"/>
        </w:numPr>
        <w:pStyle w:val="Compact"/>
      </w:pPr>
      <w:r>
        <w:t xml:space="preserve">High-detail BOM: Utilization of a detailed Bill of Materials enhances the accuracy of material-related emissions.</w:t>
      </w:r>
    </w:p>
    <w:p>
      <w:pPr>
        <w:numPr>
          <w:ilvl w:val="0"/>
          <w:numId w:val="1015"/>
        </w:numPr>
        <w:pStyle w:val="Compact"/>
      </w:pPr>
      <w:r>
        <w:t xml:space="preserve">Specific parameters: Incorporation of company-specific data for energy usage, product lifespan, and EoL scenarios improves relevance.</w:t>
      </w:r>
    </w:p>
    <w:p>
      <w:pPr>
        <w:pStyle w:val="FirstParagraph"/>
      </w:pPr>
      <w:r>
        <w:t xml:space="preserve">Limitations include:</w:t>
      </w:r>
    </w:p>
    <w:p>
      <w:pPr>
        <w:numPr>
          <w:ilvl w:val="0"/>
          <w:numId w:val="1016"/>
        </w:numPr>
        <w:pStyle w:val="Compact"/>
      </w:pPr>
      <w:r>
        <w:rPr>
          <w:bCs/>
          <w:b/>
        </w:rPr>
        <w:t xml:space="preserve">Assumptions for Placeholders:</w:t>
      </w:r>
      <w:r>
        <w:t xml:space="preserve"> </w:t>
      </w:r>
      <w:r>
        <w:t xml:space="preserve">Specific values for \'Transport Mode\', \'Transport Distance\', \'Last-Mile Delivery Channel\', \'Renewable Energy Usage\', \'Energy Intensity\', \'Product Lifespan\', \'Energy Consumption in Use\', \'Recyclability Percentage\', and \'Circular/Take-back Programs\' were assumed for calculation purposes where only parameter names were provided in the prompt. Further primary data collection for these specific values would enhance accuracy.</w:t>
      </w:r>
    </w:p>
    <w:p>
      <w:pPr>
        <w:numPr>
          <w:ilvl w:val="0"/>
          <w:numId w:val="1016"/>
        </w:numPr>
        <w:pStyle w:val="Compact"/>
      </w:pPr>
      <w:r>
        <w:rPr>
          <w:bCs/>
          <w:b/>
        </w:rPr>
        <w:t xml:space="preserve">Illustrative Emission Factors:</w:t>
      </w:r>
      <w:r>
        <w:t xml:space="preserve"> </w:t>
      </w:r>
      <w:r>
        <w:t xml:space="preserve">Industry-average emission factors from Ecoinvent and DEFRA were used. Product-specific or supplier-specific primary emission factors would provide a more precise calculation.</w:t>
      </w:r>
    </w:p>
    <w:p>
      <w:pPr>
        <w:numPr>
          <w:ilvl w:val="0"/>
          <w:numId w:val="1016"/>
        </w:numPr>
        <w:pStyle w:val="Compact"/>
      </w:pPr>
      <w:r>
        <w:rPr>
          <w:bCs/>
          <w:b/>
        </w:rPr>
        <w:t xml:space="preserve">System Boundary Interpretation:</w:t>
      </w:r>
      <w:r>
        <w:t xml:space="preserve"> </w:t>
      </w:r>
      <w:r>
        <w:t xml:space="preserve">While the primary boundary for direct operations is \'factory_gate\', the analysis expanded to a \'cradle-to-grave\' approach to meet the high-detail PCF requirement and cover upstream/downstream impacts under Scope 3.</w:t>
      </w:r>
    </w:p>
    <w:bookmarkEnd w:id="48"/>
    <w:bookmarkStart w:id="49" w:name="recommendations-for-decarbonization"/>
    <w:p>
      <w:pPr>
        <w:pStyle w:val="Heading3"/>
      </w:pPr>
      <w:r>
        <w:t xml:space="preserve">5.3. Recommendations for Decarbonization</w:t>
      </w:r>
    </w:p>
    <w:p>
      <w:pPr>
        <w:pStyle w:val="FirstParagraph"/>
      </w:pPr>
      <w:r>
        <w:t xml:space="preserve">Based on the hotspot analysis, zsnydzhxth should consider the following:</w:t>
      </w:r>
    </w:p>
    <w:p>
      <w:pPr>
        <w:numPr>
          <w:ilvl w:val="0"/>
          <w:numId w:val="1017"/>
        </w:numPr>
        <w:pStyle w:val="Compact"/>
      </w:pPr>
      <w:r>
        <w:rPr>
          <w:bCs/>
          <w:b/>
        </w:rPr>
        <w:t xml:space="preserve">Use Phase Optimization:</w:t>
      </w:r>
      <w:r>
        <w:t xml:space="preserve"> </w:t>
      </w:r>
      <w:r>
        <w:t xml:space="preserve">Investigate opportunities to reduce the energy consumption of hdqhqiuwku during its use phase. This could involve exploring more energy-efficient designs, offering energy-saving modes, or educating end-users on optimal usage to minimize energy draw. Consider a shift to an annualized stock-based model for Category 11 reporting as proposed in the 2026 Scope 3 revision, which rewards product durability.</w:t>
      </w:r>
    </w:p>
    <w:p>
      <w:pPr>
        <w:numPr>
          <w:ilvl w:val="0"/>
          <w:numId w:val="1017"/>
        </w:numPr>
        <w:pStyle w:val="Compact"/>
      </w:pPr>
      <w:r>
        <w:rPr>
          <w:bCs/>
          <w:b/>
        </w:rPr>
        <w:t xml:space="preserve">Material Decarbonization:</w:t>
      </w:r>
      <w:r>
        <w:t xml:space="preserve"> </w:t>
      </w:r>
      <w:r>
        <w:t xml:space="preserve">Explore alternative, lower-carbon materials for components like the Aluminium Casing and Printed Circuit Board. Engage with suppliers to encourage the use of renewable energy in their production processes and to provide product-specific primary emission data.</w:t>
      </w:r>
    </w:p>
    <w:p>
      <w:pPr>
        <w:numPr>
          <w:ilvl w:val="0"/>
          <w:numId w:val="1017"/>
        </w:numPr>
        <w:pStyle w:val="Compact"/>
      </w:pPr>
      <w:r>
        <w:rPr>
          <w:bCs/>
          <w:b/>
        </w:rPr>
        <w:t xml:space="preserve">Logistics Efficiency:</w:t>
      </w:r>
      <w:r>
        <w:t xml:space="preserve"> </w:t>
      </w:r>
      <w:r>
        <w:t xml:space="preserve">Optimize transportation routes and modes for both upstream and downstream logistics. Consider partnerships with logistics providers committed to low-carbon fleets and routes, especially for last-mile delivery, or explore localized production/assembly where feasible.</w:t>
      </w:r>
    </w:p>
    <w:p>
      <w:pPr>
        <w:numPr>
          <w:ilvl w:val="0"/>
          <w:numId w:val="1017"/>
        </w:numPr>
        <w:pStyle w:val="Compact"/>
      </w:pPr>
      <w:r>
        <w:rPr>
          <w:bCs/>
          <w:b/>
        </w:rPr>
        <w:t xml:space="preserve">Circular Economy Enhancement:</w:t>
      </w:r>
      <w:r>
        <w:t xml:space="preserve"> </w:t>
      </w:r>
      <w:r>
        <w:t xml:space="preserve">Continue to strengthen circular/take-back programs (qdlxnslgzy) and aim to further increase the recyclability percentage (ghqtemddse) beyond 80% to maximize avoided emissions benefits at End-of-Life.</w:t>
      </w:r>
    </w:p>
    <w:p>
      <w:pPr>
        <w:numPr>
          <w:ilvl w:val="0"/>
          <w:numId w:val="1017"/>
        </w:numPr>
        <w:pStyle w:val="Compact"/>
      </w:pPr>
      <w:r>
        <w:rPr>
          <w:bCs/>
          <w:b/>
        </w:rPr>
        <w:t xml:space="preserve">Data Improvement:</w:t>
      </w:r>
      <w:r>
        <w:t xml:space="preserve"> </w:t>
      </w:r>
      <w:r>
        <w:t xml:space="preserve">Prioritize the collection of primary data for all key parameters currently relying on illustrative assumptions or industry averages, especially for high-impact categories. This aligns with the 2026 GHG Protocol emphasis on data disaggregation by type to improve transparency and reliability.</w:t>
      </w:r>
    </w:p>
    <w:p>
      <w:pPr>
        <w:pStyle w:val="FirstParagraph"/>
      </w:pPr>
      <w:r>
        <w:t xml:space="preserve">By focusing on these areas, zsnydzhxth can significantly reduce the carbon footprint of hdqhqiuwku and demonstrate leadership in sustainable product development and environmental stewardship.</w:t>
      </w:r>
    </w:p>
    <w:p>
      <w:pPr>
        <w:pStyle w:val="BodyText"/>
      </w:pPr>
      <w:r>
        <w:t xml:space="preserve">Confidential - Internal Use Only | Page</w:t>
      </w:r>
      <w:r>
        <w:t xml:space="preserve"> </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hdqhqiuwku</dc:title>
  <dc:creator/>
  <dc:description>Detailed Product Carbon Footprint (PCF) analysis for product hdqhqiuwku, conducted by zsnydzhxth, adhering to the GHG Protocol and 2026 updates.</dc:description>
  <dc:language>en</dc:language>
  <cp:keywords/>
  <dcterms:created xsi:type="dcterms:W3CDTF">2026-07-15T10:33:05Z</dcterms:created>
  <dcterms:modified xsi:type="dcterms:W3CDTF">2026-07-15T10:33:05Z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