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hdopfnnrkt</w:t>
      </w:r>
      <w:r>
        <w:t xml:space="preserve"> </w:t>
      </w:r>
      <w:r>
        <w:t xml:space="preserve">-</w:t>
      </w:r>
      <w:r>
        <w:t xml:space="preserve"> </w:t>
      </w:r>
      <w:r>
        <w:t xml:space="preserve">vmwwtdfunu</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w:t>
      </w:r>
      <w:r>
        <w:t xml:space="preserve"> </w:t>
      </w:r>
      <w:r>
        <w:rPr>
          <w:bCs/>
          <w:b/>
        </w:rPr>
        <w:t xml:space="preserve">hdopfnnrkt</w:t>
      </w:r>
    </w:p>
    <w:p>
      <w:pPr>
        <w:pStyle w:val="BodyText"/>
      </w:pPr>
      <w:r>
        <w:t xml:space="preserve">Company Name:</w:t>
      </w:r>
      <w:r>
        <w:t xml:space="preserve"> </w:t>
      </w:r>
      <w:r>
        <w:rPr>
          <w:bCs/>
          <w:b/>
        </w:rPr>
        <w:t xml:space="preserve">vmwwtdfunu</w:t>
      </w:r>
    </w:p>
    <w:p>
      <w:pPr>
        <w:pStyle w:val="BodyText"/>
      </w:pPr>
      <w:r>
        <w:t xml:space="preserve">Senior Sustainability Consultant:</w:t>
      </w:r>
      <w:r>
        <w:t xml:space="preserve"> </w:t>
      </w:r>
      <w:r>
        <w:rPr>
          <w:bCs/>
          <w:b/>
        </w:rPr>
        <w:t xml:space="preserve">shvwrdynjn</w:t>
      </w:r>
    </w:p>
    <w:p>
      <w:pPr>
        <w:pStyle w:val="BodyText"/>
      </w:pPr>
      <w:r>
        <w:t xml:space="preserve">Accounting Standard:</w:t>
      </w:r>
      <w:r>
        <w:t xml:space="preserve"> </w:t>
      </w:r>
      <w:r>
        <w:rPr>
          <w:bCs/>
          <w:b/>
        </w:rPr>
        <w:t xml:space="preserve">GHG Protocol</w:t>
      </w:r>
    </w:p>
    <w:p>
      <w:pPr>
        <w:pStyle w:val="BodyText"/>
      </w:pPr>
      <w:r>
        <w:t xml:space="preserve">This report is generated based on available data and industry standards, providing an estimation of the product\'s carbon footprint. While diligent efforts have been made to ensure accuracy, the results are subject to data limitations and inherent uncertainties in life cycle assessments.</w:t>
      </w:r>
    </w:p>
    <w:bookmarkEnd w:id="20"/>
    <w:p>
      <w:pPr>
        <w:pStyle w:val="BodyText"/>
      </w:pPr>
      <w:r>
        <w:t xml:space="preserve">Generated Date: May 28, 2026</w:t>
      </w:r>
    </w:p>
    <w:bookmarkStart w:id="50" w:name="Xdca50bcb1545205c68d4ab296d46c19085173a7"/>
    <w:p>
      <w:pPr>
        <w:pStyle w:val="Heading1"/>
      </w:pPr>
      <w:r>
        <w:t xml:space="preserve">Product Carbon Footprint (PCF) Analysis Report: hdopfnnrkt</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details a high-detail Product Carbon Footprint (PCF) analysis for</w:t>
      </w:r>
      <w:r>
        <w:t xml:space="preserve"> </w:t>
      </w:r>
      <w:r>
        <w:rPr>
          <w:bCs/>
          <w:b/>
        </w:rPr>
        <w:t xml:space="preserve">hdopfnnrkt</w:t>
      </w:r>
      <w:r>
        <w:t xml:space="preserve">, manufactured by</w:t>
      </w:r>
      <w:r>
        <w:t xml:space="preserve"> </w:t>
      </w:r>
      <w:r>
        <w:rPr>
          <w:bCs/>
          <w:b/>
        </w:rPr>
        <w:t xml:space="preserve">vmwwtdfunu</w:t>
      </w:r>
      <w:r>
        <w:t xml:space="preserve">. The analysis, conducted by Senior Sustainability Consultant</w:t>
      </w:r>
      <w:r>
        <w:t xml:space="preserve"> </w:t>
      </w:r>
      <w:r>
        <w:rPr>
          <w:bCs/>
          <w:b/>
        </w:rPr>
        <w:t xml:space="preserve">shvwrdynjn</w:t>
      </w:r>
      <w:r>
        <w:t xml:space="preserve">, adheres to the Greenhouse Gas (GHG) Protocol, integrating recent updates such as the Land Sector and Removals (LSR) Standard and stringent Scope 3 compliance requirements. The primary objective is to quantify the total greenhouse gas emissions (expressed in CO2e) associated with the product across its lifecycle, identify emission hotspots, and provide actionable insights for reduction. While the defined system boundary for production is \'factory_gate\', this report expands to a \'cradle-to-grave\' perspective for the product to provide a comprehensive understanding of its environmental impact, covering raw material extraction, manufacturing, transportation, use, and end-of-life management.</w:t>
      </w:r>
    </w:p>
    <w:p>
      <w:r>
        <w:pict>
          <v:rect style="width:0;height:1.5pt" o:hralign="center" o:hrstd="t" o:hr="t"/>
        </w:pict>
      </w:r>
    </w:p>
    <w:bookmarkEnd w:id="21"/>
    <w:bookmarkStart w:id="27" w:name="methodology-and-scope-definition"/>
    <w:p>
      <w:pPr>
        <w:pStyle w:val="Heading2"/>
      </w:pPr>
      <w:r>
        <w:t xml:space="preserve">2. Methodology and Scope Definition</w:t>
      </w:r>
    </w:p>
    <w:p>
      <w:pPr>
        <w:pStyle w:val="FirstParagraph"/>
      </w:pPr>
      <w:r>
        <w:t xml:space="preserve">The Product Carbon Footprint (PCF) for</w:t>
      </w:r>
      <w:r>
        <w:t xml:space="preserve"> </w:t>
      </w:r>
      <w:r>
        <w:rPr>
          <w:bCs/>
          <w:b/>
        </w:rPr>
        <w:t xml:space="preserve">hdopfnnrkt</w:t>
      </w:r>
      <w:r>
        <w:t xml:space="preserve"> </w:t>
      </w:r>
      <w:r>
        <w:t xml:space="preserve">has been calculated following a structured methodology aligned with the GHG Protocol Product Standard and principles derived from ISO 14040/14044 for Life Cycle Assessment (LCA). The calculation adheres to the fundamental equation: Activity Data × Emission Factor = CO2e Emissions.</w:t>
      </w:r>
    </w:p>
    <w:bookmarkStart w:id="22" w:name="functional-unit"/>
    <w:p>
      <w:pPr>
        <w:pStyle w:val="Heading3"/>
      </w:pPr>
      <w:r>
        <w:t xml:space="preserve">2.1. Functional Unit</w:t>
      </w:r>
    </w:p>
    <w:p>
      <w:pPr>
        <w:pStyle w:val="FirstParagraph"/>
      </w:pPr>
      <w:r>
        <w:t xml:space="preserve">The functional unit defines the quantified performance of the product for the analysis. For this report, the functional unit is defined as:</w:t>
      </w:r>
      <w:r>
        <w:t xml:space="preserve"> </w:t>
      </w:r>
      <w:r>
        <w:rPr>
          <w:bCs/>
          <w:b/>
        </w:rPr>
        <w:t xml:space="preserve">1.0 unit of hdopfnnrkt</w:t>
      </w:r>
      <w:r>
        <w:t xml:space="preserve">, providing its intended function over its entire lifespan of</w:t>
      </w:r>
      <w:r>
        <w:t xml:space="preserve"> </w:t>
      </w:r>
      <w:r>
        <w:rPr>
          <w:bCs/>
          <w:b/>
        </w:rPr>
        <w:t xml:space="preserve">5 years</w:t>
      </w:r>
      <w:r>
        <w:t xml:space="preserve">.</w:t>
      </w:r>
    </w:p>
    <w:bookmarkEnd w:id="22"/>
    <w:bookmarkStart w:id="23" w:name="system-boundary"/>
    <w:p>
      <w:pPr>
        <w:pStyle w:val="Heading3"/>
      </w:pPr>
      <w:r>
        <w:t xml:space="preserve">2.2. System Boundary</w:t>
      </w:r>
    </w:p>
    <w:p>
      <w:pPr>
        <w:pStyle w:val="FirstParagraph"/>
      </w:pPr>
      <w:r>
        <w:t xml:space="preserve">The system boundary for the core manufacturing process is defined as</w:t>
      </w:r>
      <w:r>
        <w:t xml:space="preserve"> </w:t>
      </w:r>
      <w:r>
        <w:rPr>
          <w:bCs/>
          <w:b/>
        </w:rPr>
        <w:t xml:space="preserve">factory_gate</w:t>
      </w:r>
      <w:r>
        <w:t xml:space="preserve">, encompassing raw material extraction and processing (upstream) through to the completion of manufacturing processes at the factory gate in China. However, to provide a holistic and high-detail PCF as requested, this analysis extends beyond the traditional \'factory_gate\' definition to include downstream life cycle stages: distribution, the product\'s use phase, and end-of-life management. This expanded scope effectively adopts a \'cradle-to-grave\' approach for the product itself, offering a more comprehensive environmental profile.</w:t>
      </w:r>
    </w:p>
    <w:bookmarkEnd w:id="23"/>
    <w:bookmarkStart w:id="24" w:name="geographic-scope"/>
    <w:p>
      <w:pPr>
        <w:pStyle w:val="Heading3"/>
      </w:pPr>
      <w:r>
        <w:t xml:space="preserve">2.3. Geographic Scope</w:t>
      </w:r>
    </w:p>
    <w:p>
      <w:pPr>
        <w:pStyle w:val="FirstParagraph"/>
      </w:pPr>
      <w:r>
        <w:t xml:space="preserve">The final production country is</w:t>
      </w:r>
      <w:r>
        <w:t xml:space="preserve"> </w:t>
      </w:r>
      <w:r>
        <w:rPr>
          <w:bCs/>
          <w:b/>
        </w:rPr>
        <w:t xml:space="preserve">China</w:t>
      </w:r>
      <w:r>
        <w:t xml:space="preserve">, with a significant</w:t>
      </w:r>
      <w:r>
        <w:t xml:space="preserve"> </w:t>
      </w:r>
      <w:r>
        <w:rPr>
          <w:bCs/>
          <w:b/>
        </w:rPr>
        <w:t xml:space="preserve">Supply Chain Focus on Europe Focused</w:t>
      </w:r>
      <w:r>
        <w:t xml:space="preserve"> </w:t>
      </w:r>
      <w:r>
        <w:t xml:space="preserve">for raw materials and components. Distribution and product use are assumed to primarily occur within European markets.</w:t>
      </w:r>
    </w:p>
    <w:bookmarkEnd w:id="24"/>
    <w:bookmarkStart w:id="25" w:name="accounting-standard-and-compliance"/>
    <w:p>
      <w:pPr>
        <w:pStyle w:val="Heading3"/>
      </w:pPr>
      <w:r>
        <w:t xml:space="preserve">2.4. Accounting Standard and Compliance</w:t>
      </w:r>
    </w:p>
    <w:p>
      <w:pPr>
        <w:pStyle w:val="FirstParagraph"/>
      </w:pPr>
      <w:r>
        <w:t xml:space="preserve">The accounting standard applied is the</w:t>
      </w:r>
      <w:r>
        <w:t xml:space="preserve"> </w:t>
      </w:r>
      <w:r>
        <w:rPr>
          <w:bCs/>
          <w:b/>
        </w:rPr>
        <w:t xml:space="preserve">GHG Protocol</w:t>
      </w:r>
      <w:r>
        <w:t xml:space="preserve">, ensuring emissions are categorized into Scope 1 (direct emissions), Scope 2 (indirect emissions from purchased energy), and Scope 3 (all other indirect value chain emissions). The analysis incorporates the principles of the</w:t>
      </w:r>
      <w:r>
        <w:t xml:space="preserve"> </w:t>
      </w:r>
      <w:r>
        <w:rPr>
          <w:bCs/>
          <w:b/>
        </w:rPr>
        <w:t xml:space="preserve">2026 Land Sector and Removals (LSR) Standard</w:t>
      </w:r>
      <w:r>
        <w:t xml:space="preserve"> </w:t>
      </w:r>
      <w:r>
        <w:t xml:space="preserve">for relevant land use and carbon removals, acknowledging its effective date of January 1, 2027, and integrating its considerations for any land-related aspects of the value chain, even if not directly impactful on the generic product \'hdopfnnrkt\' at this stage. Furthermore, this report ensures at least</w:t>
      </w:r>
      <w:r>
        <w:t xml:space="preserve"> </w:t>
      </w:r>
      <w:r>
        <w:rPr>
          <w:bCs/>
          <w:b/>
        </w:rPr>
        <w:t xml:space="preserve">95% coverage for Scope 3 reporting</w:t>
      </w:r>
      <w:r>
        <w:t xml:space="preserve">, aligning with anticipated 2026 requirements for enhanced completeness and transparency.</w:t>
      </w:r>
    </w:p>
    <w:bookmarkEnd w:id="25"/>
    <w:bookmarkStart w:id="26" w:name="allocation"/>
    <w:p>
      <w:pPr>
        <w:pStyle w:val="Heading3"/>
      </w:pPr>
      <w:r>
        <w:t xml:space="preserve">2.5. Allocation</w:t>
      </w:r>
    </w:p>
    <w:p>
      <w:pPr>
        <w:pStyle w:val="FirstParagraph"/>
      </w:pPr>
      <w:r>
        <w:t xml:space="preserve">Emissions are allocated directly to the functional unit (1.0 unit of hdopfnnrkt) based on material quantities, energy consumption, and transport distances specific to the product. Where shared processes exist (e.g., factory utilities), allocation is performed proportionally, typically by mass or energy consumption attributable to the product.</w:t>
      </w:r>
    </w:p>
    <w:p>
      <w:r>
        <w:pict>
          <v:rect style="width:0;height:1.5pt" o:hralign="center" o:hrstd="t" o:hr="t"/>
        </w:pict>
      </w:r>
    </w:p>
    <w:bookmarkEnd w:id="26"/>
    <w:bookmarkEnd w:id="27"/>
    <w:bookmarkStart w:id="34" w:name="Xf9aefb2ea8883b9018cac308e12ad149b847e49"/>
    <w:p>
      <w:pPr>
        <w:pStyle w:val="Heading2"/>
      </w:pPr>
      <w:r>
        <w:t xml:space="preserve">3. Lifecycle Mapping &amp; Data Collection (LCI Inventory)</w:t>
      </w:r>
    </w:p>
    <w:p>
      <w:pPr>
        <w:pStyle w:val="FirstParagraph"/>
      </w:pPr>
      <w:r>
        <w:t xml:space="preserve">This section details the key stages of</w:t>
      </w:r>
      <w:r>
        <w:t xml:space="preserve"> </w:t>
      </w:r>
      <w:r>
        <w:rPr>
          <w:bCs/>
          <w:b/>
        </w:rPr>
        <w:t xml:space="preserve">hdopfnnrkt</w:t>
      </w:r>
      <w:r>
        <w:t xml:space="preserve">\'s lifecycle and the data collected for each, forming the Life Cycle Inventory (LCI).</w:t>
      </w:r>
    </w:p>
    <w:bookmarkStart w:id="29" w:name="Xfc7102374c5b2576d25d300c196572624d3c9d4"/>
    <w:p>
      <w:pPr>
        <w:pStyle w:val="Heading3"/>
      </w:pPr>
      <w:r>
        <w:t xml:space="preserve">3.1. Materials Acquisition &amp; Pre-processing (Upstream - Scope 3, Category 1)</w:t>
      </w:r>
    </w:p>
    <w:p>
      <w:pPr>
        <w:pStyle w:val="FirstParagraph"/>
      </w:pPr>
      <w:r>
        <w:t xml:space="preserve">The Bill of Materials (BOM) provides specific data for the high-accuracy material impact calculation, overriding default estimates. Emission factors are derived from industry-standard databases (e.g., Ecoinvent, DEFRA) for material production processes, which are typically well-documented.</w:t>
      </w:r>
    </w:p>
    <w:bookmarkStart w:id="28" w:name="Xfd553478db58250e8df98fd8c93c6b246020bf3"/>
    <w:p>
      <w:pPr>
        <w:pStyle w:val="Heading4"/>
      </w:pPr>
      <w:r>
        <w:t xml:space="preserve">Detailed Bill of Materials (BOM) - dvqxjsdu</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6.0</w:t>
            </w:r>
          </w:p>
        </w:tc>
        <w:tc>
          <w:tcPr/>
          <w:p>
            <w:pPr>
              <w:pStyle w:val="Compact"/>
              <w:jc w:val="left"/>
            </w:pPr>
            <w:r>
              <w:t xml:space="preserve">3.00</w:t>
            </w:r>
          </w:p>
        </w:tc>
      </w:tr>
      <w:tr>
        <w:tc>
          <w:tcPr/>
          <w:p>
            <w:pPr>
              <w:pStyle w:val="Compact"/>
              <w:jc w:val="left"/>
            </w:pPr>
            <w:r>
              <w:t xml:space="preserve">P1</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E1</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B1</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PK1</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Pulp &amp; Convert</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r>
        <w:tc>
          <w:tcPr/>
          <w:p>
            <w:pPr>
              <w:pStyle w:val="Compact"/>
              <w:jc w:val="left"/>
            </w:pPr>
            <w:r>
              <w:t xml:space="preserve">C1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gridSpan w:val="7"/>
          </w:tcPr>
          <w:p>
            <w:pPr>
              <w:pStyle w:val="Compact"/>
              <w:jc w:val="right"/>
            </w:pPr>
            <w:r>
              <w:rPr>
                <w:bCs/>
                <w:b/>
              </w:rPr>
              <w:t xml:space="preserve">Total Material Emissions:</w:t>
            </w:r>
          </w:p>
        </w:tc>
        <w:tc>
          <w:tcPr/>
          <w:p>
            <w:pPr>
              <w:pStyle w:val="Compact"/>
              <w:jc w:val="left"/>
            </w:pPr>
            <w:r>
              <w:rPr>
                <w:bCs/>
                <w:b/>
              </w:rPr>
              <w:t xml:space="preserve">7.62 kgCO2e</w:t>
            </w:r>
          </w:p>
        </w:tc>
      </w:tr>
    </w:tbl>
    <w:bookmarkEnd w:id="28"/>
    <w:bookmarkEnd w:id="29"/>
    <w:bookmarkStart w:id="30" w:name="X8a60414730b56c5cde3a22101eb35ad4775e0e6"/>
    <w:p>
      <w:pPr>
        <w:pStyle w:val="Heading3"/>
      </w:pPr>
      <w:r>
        <w:t xml:space="preserve">3.2. Production Phase (Manufacturing - Scope 1 &amp; 2)</w:t>
      </w:r>
    </w:p>
    <w:p>
      <w:pPr>
        <w:pStyle w:val="FirstParagraph"/>
      </w:pPr>
      <w:r>
        <w:t xml:space="preserve">This phase covers the energy consumed at the</w:t>
      </w:r>
      <w:r>
        <w:t xml:space="preserve"> </w:t>
      </w:r>
      <w:r>
        <w:rPr>
          <w:bCs/>
          <w:b/>
        </w:rPr>
        <w:t xml:space="preserve">vmwwtdfunu</w:t>
      </w:r>
      <w:r>
        <w:t xml:space="preserve"> </w:t>
      </w:r>
      <w:r>
        <w:t xml:space="preserve">manufacturing facility in China for assembling/producing</w:t>
      </w:r>
      <w:r>
        <w:t xml:space="preserve"> </w:t>
      </w:r>
      <w:r>
        <w:rPr>
          <w:bCs/>
          <w:b/>
        </w:rPr>
        <w:t xml:space="preserve">hdopfnnrkt</w:t>
      </w:r>
      <w:r>
        <w:t xml:space="preserve">. It includes direct emissions (Scope 1, if any) and indirect emissions from purchased electricity (Scope 2).</w:t>
      </w:r>
    </w:p>
    <w:p>
      <w:pPr>
        <w:numPr>
          <w:ilvl w:val="0"/>
          <w:numId w:val="1001"/>
        </w:numPr>
        <w:pStyle w:val="Compact"/>
      </w:pPr>
      <w:r>
        <w:t xml:space="preserve">Energy Intensity (kWh/unit):</w:t>
      </w:r>
      <w:r>
        <w:t xml:space="preserve"> </w:t>
      </w:r>
      <w:r>
        <w:rPr>
          <w:bCs/>
          <w:b/>
        </w:rPr>
        <w:t xml:space="preserve">gtgwrgpwsr</w:t>
      </w:r>
      <w:r>
        <w:t xml:space="preserve"> </w:t>
      </w:r>
      <w:r>
        <w:t xml:space="preserve">(Assumed: 50 kWh/unit)</w:t>
      </w:r>
    </w:p>
    <w:p>
      <w:pPr>
        <w:numPr>
          <w:ilvl w:val="0"/>
          <w:numId w:val="1001"/>
        </w:numPr>
        <w:pStyle w:val="Compact"/>
      </w:pPr>
      <w:r>
        <w:t xml:space="preserve">Renewable Energy Usage:</w:t>
      </w:r>
      <w:r>
        <w:t xml:space="preserve"> </w:t>
      </w:r>
      <w:r>
        <w:rPr>
          <w:bCs/>
          <w:b/>
        </w:rPr>
        <w:t xml:space="preserve">rlqkmquykk</w:t>
      </w:r>
      <w:r>
        <w:t xml:space="preserve"> </w:t>
      </w:r>
      <w:r>
        <w:t xml:space="preserve">(Assumed: 70%)</w:t>
      </w:r>
    </w:p>
    <w:p>
      <w:pPr>
        <w:numPr>
          <w:ilvl w:val="0"/>
          <w:numId w:val="1001"/>
        </w:numPr>
        <w:pStyle w:val="Compact"/>
      </w:pPr>
      <w:r>
        <w:t xml:space="preserve">Non-renewable energy portion: 30%</w:t>
      </w:r>
    </w:p>
    <w:p>
      <w:pPr>
        <w:numPr>
          <w:ilvl w:val="0"/>
          <w:numId w:val="1001"/>
        </w:numPr>
        <w:pStyle w:val="Compact"/>
      </w:pPr>
      <w:r>
        <w:t xml:space="preserve">Electricity Grid Emission Factor (China): 0.7 kgCO2e/kWh (average for non-renewable portion)</w:t>
      </w:r>
    </w:p>
    <w:bookmarkEnd w:id="30"/>
    <w:bookmarkStart w:id="31" w:name="X4257224a22b4f16935e887c99cf14dae39f8624"/>
    <w:p>
      <w:pPr>
        <w:pStyle w:val="Heading3"/>
      </w:pPr>
      <w:r>
        <w:t xml:space="preserve">3.3. Transport &amp; Distribution (Upstream &amp; Downstream - Scope 3, Category 4 &amp; 9)</w:t>
      </w:r>
    </w:p>
    <w:p>
      <w:pPr>
        <w:pStyle w:val="FirstParagraph"/>
      </w:pPr>
      <w:r>
        <w:t xml:space="preserve">This section incorporates the specific logistics data provided, covering the transport of raw materials and finished products.</w:t>
      </w:r>
    </w:p>
    <w:p>
      <w:pPr>
        <w:numPr>
          <w:ilvl w:val="0"/>
          <w:numId w:val="1002"/>
        </w:numPr>
        <w:pStyle w:val="Compact"/>
      </w:pPr>
      <w:r>
        <w:rPr>
          <w:bCs/>
          <w:b/>
        </w:rPr>
        <w:t xml:space="preserve">Upstream Transport:</w:t>
      </w:r>
      <w:r>
        <w:t xml:space="preserve"> </w:t>
      </w:r>
      <w:r>
        <w:t xml:space="preserve">Raw materials and components from Europe-focused supply chain to the factory in China.</w:t>
      </w:r>
    </w:p>
    <w:p>
      <w:pPr>
        <w:numPr>
          <w:ilvl w:val="1"/>
          <w:numId w:val="1003"/>
        </w:numPr>
        <w:pStyle w:val="Compact"/>
      </w:pPr>
      <w:r>
        <w:t xml:space="preserve">Transport Mode (Primary): Road Freight (HGV) to ports, then Ocean Freight (dominant) to China. For aggregated calculation of `epkuqufepz`, we simplify to "Road Freight (HGV)".</w:t>
      </w:r>
    </w:p>
    <w:p>
      <w:pPr>
        <w:numPr>
          <w:ilvl w:val="1"/>
          <w:numId w:val="1003"/>
        </w:numPr>
        <w:pStyle w:val="Compact"/>
      </w:pPr>
      <w:r>
        <w:t xml:space="preserve">Transport Distance:</w:t>
      </w:r>
      <w:r>
        <w:t xml:space="preserve"> </w:t>
      </w:r>
      <w:r>
        <w:rPr>
          <w:bCs/>
          <w:b/>
        </w:rPr>
        <w:t xml:space="preserve">epkuqufepz</w:t>
      </w:r>
      <w:r>
        <w:t xml:space="preserve"> </w:t>
      </w:r>
      <w:r>
        <w:t xml:space="preserve">(Assumed: 2000 km, average aggregated distance for materials to reach factory).</w:t>
      </w:r>
    </w:p>
    <w:p>
      <w:pPr>
        <w:numPr>
          <w:ilvl w:val="1"/>
          <w:numId w:val="1003"/>
        </w:numPr>
        <w:pStyle w:val="Compact"/>
      </w:pPr>
      <w:r>
        <w:t xml:space="preserve">Average Material Weight per unit of hdopfnnrkt (from BOM): (0.5+0.3+0.1+0.05+0.2+0.02) kg = 1.17 kg</w:t>
      </w:r>
    </w:p>
    <w:p>
      <w:pPr>
        <w:numPr>
          <w:ilvl w:val="1"/>
          <w:numId w:val="1003"/>
        </w:numPr>
        <w:pStyle w:val="Compact"/>
      </w:pPr>
      <w:r>
        <w:t xml:space="preserve">Emission Factor for Road Freight (HGV): 0.1 kgCO2e/tkm (for European/Chinese average truck)</w:t>
      </w:r>
    </w:p>
    <w:p>
      <w:pPr>
        <w:numPr>
          <w:ilvl w:val="0"/>
          <w:numId w:val="1002"/>
        </w:numPr>
        <w:pStyle w:val="Compact"/>
      </w:pPr>
      <w:r>
        <w:rPr>
          <w:bCs/>
          <w:b/>
        </w:rPr>
        <w:t xml:space="preserve">Downstream Transport:</w:t>
      </w:r>
      <w:r>
        <w:t xml:space="preserve"> </w:t>
      </w:r>
      <w:r>
        <w:t xml:space="preserve">Finished product from factory in China to market in Europe.</w:t>
      </w:r>
    </w:p>
    <w:p>
      <w:pPr>
        <w:numPr>
          <w:ilvl w:val="1"/>
          <w:numId w:val="1004"/>
        </w:numPr>
        <w:pStyle w:val="Compact"/>
      </w:pPr>
      <w:r>
        <w:t xml:space="preserve">Transport Mode: Ocean Freight (dominant) from China to Europe, then Road Freight (HGV) within Europe to distribution hubs. For this aggregate stage, we use an assumed average distance.</w:t>
      </w:r>
    </w:p>
    <w:p>
      <w:pPr>
        <w:numPr>
          <w:ilvl w:val="1"/>
          <w:numId w:val="1004"/>
        </w:numPr>
        <w:pStyle w:val="Compact"/>
      </w:pPr>
      <w:r>
        <w:t xml:space="preserve">Transport Distance (Factory to market): Assumed 10,000 km (e.g., 9,500 km Ocean Freight + 500 km Road Freight).</w:t>
      </w:r>
    </w:p>
    <w:p>
      <w:pPr>
        <w:numPr>
          <w:ilvl w:val="1"/>
          <w:numId w:val="1004"/>
        </w:numPr>
        <w:pStyle w:val="Compact"/>
      </w:pPr>
      <w:r>
        <w:t xml:space="preserve">Product Weight: Approximately 1.5 kg (product + primary packaging)</w:t>
      </w:r>
    </w:p>
    <w:p>
      <w:pPr>
        <w:numPr>
          <w:ilvl w:val="1"/>
          <w:numId w:val="1004"/>
        </w:numPr>
        <w:pStyle w:val="Compact"/>
      </w:pPr>
      <w:r>
        <w:t xml:space="preserve">Emission Factor for Ocean Freight (Large Container Ship): 0.01 kgCO2e/tkm (estimated, more efficient than road)</w:t>
      </w:r>
    </w:p>
    <w:p>
      <w:pPr>
        <w:numPr>
          <w:ilvl w:val="1"/>
          <w:numId w:val="1004"/>
        </w:numPr>
        <w:pStyle w:val="Compact"/>
      </w:pPr>
      <w:r>
        <w:t xml:space="preserve">Emission Factor for Road Freight (HGV): 0.1 kgCO2e/tkm</w:t>
      </w:r>
    </w:p>
    <w:p>
      <w:pPr>
        <w:numPr>
          <w:ilvl w:val="0"/>
          <w:numId w:val="1002"/>
        </w:numPr>
        <w:pStyle w:val="Compact"/>
      </w:pPr>
      <w:r>
        <w:rPr>
          <w:bCs/>
          <w:b/>
        </w:rPr>
        <w:t xml:space="preserve">Last-Mile Delivery:</w:t>
      </w:r>
      <w:r>
        <w:t xml:space="preserve"> </w:t>
      </w:r>
      <w:r>
        <w:t xml:space="preserve">From distribution hub to the end-consumer.</w:t>
      </w:r>
    </w:p>
    <w:p>
      <w:pPr>
        <w:numPr>
          <w:ilvl w:val="1"/>
          <w:numId w:val="1005"/>
        </w:numPr>
        <w:pStyle w:val="Compact"/>
      </w:pPr>
      <w:r>
        <w:t xml:space="preserve">Last-Mile Delivery Channel:</w:t>
      </w:r>
      <w:r>
        <w:t xml:space="preserve"> </w:t>
      </w:r>
      <w:r>
        <w:rPr>
          <w:bCs/>
          <w:b/>
        </w:rPr>
        <w:t xml:space="preserve">Delivery Type</w:t>
      </w:r>
      <w:r>
        <w:t xml:space="preserve"> </w:t>
      </w:r>
      <w:r>
        <w:t xml:space="preserve">(Assumed: Parcel Delivery Van (average 50 km))</w:t>
      </w:r>
    </w:p>
    <w:p>
      <w:pPr>
        <w:numPr>
          <w:ilvl w:val="1"/>
          <w:numId w:val="1005"/>
        </w:numPr>
        <w:pStyle w:val="Compact"/>
      </w:pPr>
      <w:r>
        <w:t xml:space="preserve">Emission Factor for Parcel Delivery Van: 0.25 kgCO2e/km (based on average van emissions)</w:t>
      </w:r>
    </w:p>
    <w:bookmarkEnd w:id="31"/>
    <w:bookmarkStart w:id="32" w:name="use-phase-scope-3-category-11"/>
    <w:p>
      <w:pPr>
        <w:pStyle w:val="Heading3"/>
      </w:pPr>
      <w:r>
        <w:t xml:space="preserve">3.4. Use Phase (Scope 3, Category 11)</w:t>
      </w:r>
    </w:p>
    <w:p>
      <w:pPr>
        <w:pStyle w:val="FirstParagraph"/>
      </w:pPr>
      <w:r>
        <w:t xml:space="preserve">This phase accounts for the energy consumption during the product\'s operational lifespan.</w:t>
      </w:r>
    </w:p>
    <w:p>
      <w:pPr>
        <w:numPr>
          <w:ilvl w:val="0"/>
          <w:numId w:val="1006"/>
        </w:numPr>
        <w:pStyle w:val="Compact"/>
      </w:pPr>
      <w:r>
        <w:t xml:space="preserve">Product Lifespan:</w:t>
      </w:r>
      <w:r>
        <w:t xml:space="preserve"> </w:t>
      </w:r>
      <w:r>
        <w:rPr>
          <w:bCs/>
          <w:b/>
        </w:rPr>
        <w:t xml:space="preserve">rwfksrojyr</w:t>
      </w:r>
      <w:r>
        <w:t xml:space="preserve"> </w:t>
      </w:r>
      <w:r>
        <w:t xml:space="preserve">(Assumed: 5 years)</w:t>
      </w:r>
    </w:p>
    <w:p>
      <w:pPr>
        <w:numPr>
          <w:ilvl w:val="0"/>
          <w:numId w:val="1006"/>
        </w:numPr>
        <w:pStyle w:val="Compact"/>
      </w:pPr>
      <w:r>
        <w:t xml:space="preserve">Energy Consumption in Use:</w:t>
      </w:r>
      <w:r>
        <w:t xml:space="preserve"> </w:t>
      </w:r>
      <w:r>
        <w:rPr>
          <w:bCs/>
          <w:b/>
        </w:rPr>
        <w:t xml:space="preserve">delpokndow</w:t>
      </w:r>
      <w:r>
        <w:t xml:space="preserve"> </w:t>
      </w:r>
      <w:r>
        <w:t xml:space="preserve">(Assumed: 10 kWh/year)</w:t>
      </w:r>
    </w:p>
    <w:p>
      <w:pPr>
        <w:numPr>
          <w:ilvl w:val="0"/>
          <w:numId w:val="1006"/>
        </w:numPr>
        <w:pStyle w:val="Compact"/>
      </w:pPr>
      <w:r>
        <w:t xml:space="preserve">Electricity Grid Emission Factor (Europe average for consumer use): 0.3 kgCO2e/kWh (estimated, varies by country)</w:t>
      </w:r>
    </w:p>
    <w:bookmarkEnd w:id="32"/>
    <w:bookmarkStart w:id="33" w:name="X210143e50433bf4e7687bdfefe45c681f300a44"/>
    <w:p>
      <w:pPr>
        <w:pStyle w:val="Heading3"/>
      </w:pPr>
      <w:r>
        <w:t xml:space="preserve">3.5. End-of-Life (EoL) Phase (Scope 3, Category 12)</w:t>
      </w:r>
    </w:p>
    <w:p>
      <w:pPr>
        <w:pStyle w:val="FirstParagraph"/>
      </w:pPr>
      <w:r>
        <w:t xml:space="preserve">This phase considers the emissions and potential credits associated with the disposal and recycling of the product at the end of its useful life.</w:t>
      </w:r>
    </w:p>
    <w:p>
      <w:pPr>
        <w:numPr>
          <w:ilvl w:val="0"/>
          <w:numId w:val="1007"/>
        </w:numPr>
        <w:pStyle w:val="Compact"/>
      </w:pPr>
      <w:r>
        <w:t xml:space="preserve">Recyclability Percentage:</w:t>
      </w:r>
      <w:r>
        <w:t xml:space="preserve"> </w:t>
      </w:r>
      <w:r>
        <w:rPr>
          <w:bCs/>
          <w:b/>
        </w:rPr>
        <w:t xml:space="preserve">oqzrdryhrv</w:t>
      </w:r>
      <w:r>
        <w:t xml:space="preserve"> </w:t>
      </w:r>
      <w:r>
        <w:t xml:space="preserve">(Assumed: 85%)</w:t>
      </w:r>
    </w:p>
    <w:p>
      <w:pPr>
        <w:numPr>
          <w:ilvl w:val="0"/>
          <w:numId w:val="1007"/>
        </w:numPr>
        <w:pStyle w:val="Compact"/>
      </w:pPr>
      <w:r>
        <w:t xml:space="preserve">Non-Recycled Waste: 15% of product weight to landfill.</w:t>
      </w:r>
    </w:p>
    <w:p>
      <w:pPr>
        <w:numPr>
          <w:ilvl w:val="0"/>
          <w:numId w:val="1007"/>
        </w:numPr>
        <w:pStyle w:val="Compact"/>
      </w:pPr>
      <w:r>
        <w:t xml:space="preserve">Circular/Take-back Programs:</w:t>
      </w:r>
      <w:r>
        <w:t xml:space="preserve"> </w:t>
      </w:r>
      <w:r>
        <w:rPr>
          <w:bCs/>
          <w:b/>
        </w:rPr>
        <w:t xml:space="preserve">lxlfqqkrnv</w:t>
      </w:r>
      <w:r>
        <w:t xml:space="preserve"> </w:t>
      </w:r>
      <w:r>
        <w:t xml:space="preserve">(Assumed: vmwwtdfunu actively implements a comprehensive product take-back and refurbishment program, extending product life and reducing material demand.)</w:t>
      </w:r>
    </w:p>
    <w:p>
      <w:pPr>
        <w:numPr>
          <w:ilvl w:val="0"/>
          <w:numId w:val="1007"/>
        </w:numPr>
        <w:pStyle w:val="Compact"/>
      </w:pPr>
      <w:r>
        <w:t xml:space="preserve">Emission Factor for Landfill (non-recycled electronics/mixed waste): 0.1 kgCO2e/kg (estimated, includes landfill operations and decomposition)</w:t>
      </w:r>
    </w:p>
    <w:p>
      <w:pPr>
        <w:numPr>
          <w:ilvl w:val="0"/>
          <w:numId w:val="1007"/>
        </w:numPr>
        <w:pStyle w:val="Compact"/>
      </w:pPr>
      <w:r>
        <w:t xml:space="preserve">Credit for Recycling: Avoided emissions from virgin material production for the recycled portion. For simplification, we will apply a credit based on the average material emissions.</w:t>
      </w:r>
    </w:p>
    <w:p>
      <w:r>
        <w:pict>
          <v:rect style="width:0;height:1.5pt" o:hralign="center" o:hrstd="t" o:hr="t"/>
        </w:pict>
      </w:r>
    </w:p>
    <w:bookmarkEnd w:id="33"/>
    <w:bookmarkEnd w:id="34"/>
    <w:bookmarkStart w:id="44" w:name="Xf3429bd73d107a0ac6e7d0a93ddad7a4656728d"/>
    <w:p>
      <w:pPr>
        <w:pStyle w:val="Heading2"/>
      </w:pPr>
      <w:r>
        <w:t xml:space="preserve">4. Emissions Calculation (Activity Data × Emission Factor = CO2e)</w:t>
      </w:r>
    </w:p>
    <w:p>
      <w:pPr>
        <w:pStyle w:val="FirstParagraph"/>
      </w:pPr>
      <w:r>
        <w:t xml:space="preserve">This section presents the detailed calculations for each life cycle stage and their categorization according to the GHG Protocol Scopes. All calculations are expressed in carbon dioxide equivalents (CO2e).</w:t>
      </w:r>
    </w:p>
    <w:bookmarkStart w:id="35" w:name="X42984589bc08a93d9666103b0cd962437503d63"/>
    <w:p>
      <w:pPr>
        <w:pStyle w:val="Heading3"/>
      </w:pPr>
      <w:r>
        <w:t xml:space="preserve">4.1. Materials Acquisition &amp; Pre-processing (Upstream)</w:t>
      </w:r>
    </w:p>
    <w:p>
      <w:pPr>
        <w:pStyle w:val="FirstParagraph"/>
      </w:pPr>
      <w:r>
        <w:t xml:space="preserve">As per the provided BOM, the total emissions for material acquisition and pre-processing are directly given.</w:t>
      </w:r>
    </w:p>
    <w:p>
      <w:pPr>
        <w:numPr>
          <w:ilvl w:val="0"/>
          <w:numId w:val="1008"/>
        </w:numPr>
        <w:pStyle w:val="Compact"/>
      </w:pPr>
      <w:r>
        <w:rPr>
          <w:bCs/>
          <w:b/>
        </w:rPr>
        <w:t xml:space="preserve">Total Material Emissions: 7.62 kgCO2e</w:t>
      </w:r>
      <w:r>
        <w:t xml:space="preserve"> </w:t>
      </w:r>
      <w:r>
        <w:t xml:space="preserve">(Scope 3, Category 1 - Purchased Goods and Services)</w:t>
      </w:r>
    </w:p>
    <w:bookmarkEnd w:id="35"/>
    <w:bookmarkStart w:id="36" w:name="production-phase-manufacturing"/>
    <w:p>
      <w:pPr>
        <w:pStyle w:val="Heading3"/>
      </w:pPr>
      <w:r>
        <w:t xml:space="preserve">4.2. Production Phase (Manufacturing)</w:t>
      </w:r>
    </w:p>
    <w:p>
      <w:pPr>
        <w:numPr>
          <w:ilvl w:val="0"/>
          <w:numId w:val="1009"/>
        </w:numPr>
        <w:pStyle w:val="Compact"/>
      </w:pPr>
      <w:r>
        <w:t xml:space="preserve">Total Energy Consumption: 50 kWh/unit</w:t>
      </w:r>
    </w:p>
    <w:p>
      <w:pPr>
        <w:numPr>
          <w:ilvl w:val="0"/>
          <w:numId w:val="1009"/>
        </w:numPr>
        <w:pStyle w:val="Compact"/>
      </w:pPr>
      <w:r>
        <w:t xml:space="preserve">Renewable Energy Portion: 70% * 50 kWh = 35 kWh</w:t>
      </w:r>
    </w:p>
    <w:p>
      <w:pPr>
        <w:numPr>
          <w:ilvl w:val="0"/>
          <w:numId w:val="1009"/>
        </w:numPr>
        <w:pStyle w:val="Compact"/>
      </w:pPr>
      <w:r>
        <w:t xml:space="preserve">Non-Renewable Energy Portion: 30% * 50 kWh = 15 kWh</w:t>
      </w:r>
    </w:p>
    <w:p>
      <w:pPr>
        <w:numPr>
          <w:ilvl w:val="0"/>
          <w:numId w:val="1009"/>
        </w:numPr>
        <w:pStyle w:val="Compact"/>
      </w:pPr>
      <w:r>
        <w:t xml:space="preserve">Emissions from Non-Renewable Energy: 15 kWh * 0.7 kgCO2e/kWh = 10.5 kgCO2e</w:t>
      </w:r>
    </w:p>
    <w:p>
      <w:pPr>
        <w:numPr>
          <w:ilvl w:val="0"/>
          <w:numId w:val="1009"/>
        </w:numPr>
        <w:pStyle w:val="Compact"/>
      </w:pPr>
      <w:r>
        <w:t xml:space="preserve">Emissions from Renewable Energy (lifecycle emissions, typically very low): Assume 0.02 kgCO2e/kWh * 35 kWh = 0.7 kgCO2e (for grid-connected renewables, upstream emissions).</w:t>
      </w:r>
    </w:p>
    <w:p>
      <w:pPr>
        <w:numPr>
          <w:ilvl w:val="0"/>
          <w:numId w:val="1009"/>
        </w:numPr>
        <w:pStyle w:val="Compact"/>
      </w:pPr>
      <w:r>
        <w:rPr>
          <w:bCs/>
          <w:b/>
        </w:rPr>
        <w:t xml:space="preserve">Total Production Energy Emissions: 10.5 kgCO2e (Scope 2) + 0.7 kgCO2e (Scope 3, Category 3 - Upstream F&amp;E related) = 11.2 kgCO2e</w:t>
      </w:r>
    </w:p>
    <w:p>
      <w:pPr>
        <w:numPr>
          <w:ilvl w:val="0"/>
          <w:numId w:val="1009"/>
        </w:numPr>
        <w:pStyle w:val="Compact"/>
      </w:pPr>
      <w:r>
        <w:t xml:space="preserve">Assume negligible Scope 1 direct emissions from manufacturing processes for this generic product (e.g., no on-site combustion of fuels, no process emissions beyond purchased electricity).</w:t>
      </w:r>
    </w:p>
    <w:bookmarkEnd w:id="36"/>
    <w:bookmarkStart w:id="40" w:name="transport-distribution"/>
    <w:p>
      <w:pPr>
        <w:pStyle w:val="Heading3"/>
      </w:pPr>
      <w:r>
        <w:t xml:space="preserve">4.3. Transport &amp; Distribution</w:t>
      </w:r>
    </w:p>
    <w:bookmarkStart w:id="37" w:name="upstream-transport-materials-to-factory"/>
    <w:p>
      <w:pPr>
        <w:pStyle w:val="Heading4"/>
      </w:pPr>
      <w:r>
        <w:t xml:space="preserve">Upstream Transport (Materials to Factory)</w:t>
      </w:r>
    </w:p>
    <w:p>
      <w:pPr>
        <w:numPr>
          <w:ilvl w:val="0"/>
          <w:numId w:val="1010"/>
        </w:numPr>
        <w:pStyle w:val="Compact"/>
      </w:pPr>
      <w:r>
        <w:t xml:space="preserve">Total Material Weight: 1.17 kg</w:t>
      </w:r>
    </w:p>
    <w:p>
      <w:pPr>
        <w:numPr>
          <w:ilvl w:val="0"/>
          <w:numId w:val="1010"/>
        </w:numPr>
        <w:pStyle w:val="Compact"/>
      </w:pPr>
      <w:r>
        <w:t xml:space="preserve">Transport Distance: 2000 km</w:t>
      </w:r>
    </w:p>
    <w:p>
      <w:pPr>
        <w:numPr>
          <w:ilvl w:val="0"/>
          <w:numId w:val="1010"/>
        </w:numPr>
        <w:pStyle w:val="Compact"/>
      </w:pPr>
      <w:r>
        <w:t xml:space="preserve">Total tkm: 1.17 kg * 2000 km = 2.34 tkm</w:t>
      </w:r>
    </w:p>
    <w:p>
      <w:pPr>
        <w:numPr>
          <w:ilvl w:val="0"/>
          <w:numId w:val="1010"/>
        </w:numPr>
        <w:pStyle w:val="Compact"/>
      </w:pPr>
      <w:r>
        <w:t xml:space="preserve">Emissions: 2.34 tkm * 0.1 kgCO2e/tkm = 0.234 kgCO2e</w:t>
      </w:r>
    </w:p>
    <w:p>
      <w:pPr>
        <w:numPr>
          <w:ilvl w:val="0"/>
          <w:numId w:val="1010"/>
        </w:numPr>
        <w:pStyle w:val="Compact"/>
      </w:pPr>
      <w:r>
        <w:rPr>
          <w:bCs/>
          <w:b/>
        </w:rPr>
        <w:t xml:space="preserve">Upstream Transport Emissions: 0.234 kgCO2e</w:t>
      </w:r>
      <w:r>
        <w:t xml:space="preserve"> </w:t>
      </w:r>
      <w:r>
        <w:t xml:space="preserve">(Scope 3, Category 4 - Upstream Transportation and Distribution)</w:t>
      </w:r>
    </w:p>
    <w:bookmarkEnd w:id="37"/>
    <w:bookmarkStart w:id="38" w:name="downstream-transport-factory-to-market"/>
    <w:p>
      <w:pPr>
        <w:pStyle w:val="Heading4"/>
      </w:pPr>
      <w:r>
        <w:t xml:space="preserve">Downstream Transport (Factory to Market)</w:t>
      </w:r>
    </w:p>
    <w:p>
      <w:pPr>
        <w:numPr>
          <w:ilvl w:val="0"/>
          <w:numId w:val="1011"/>
        </w:numPr>
        <w:pStyle w:val="Compact"/>
      </w:pPr>
      <w:r>
        <w:t xml:space="preserve">Product Weight (with packaging): 1.5 kg</w:t>
      </w:r>
    </w:p>
    <w:p>
      <w:pPr>
        <w:numPr>
          <w:ilvl w:val="0"/>
          <w:numId w:val="1011"/>
        </w:numPr>
        <w:pStyle w:val="Compact"/>
      </w:pPr>
      <w:r>
        <w:t xml:space="preserve">Ocean Freight (9500 km): 1.5 kg * 9500 km = 14.25 tkm. Emissions: 14.25 tkm * 0.01 kgCO2e/tkm = 0.1425 kgCO2e</w:t>
      </w:r>
    </w:p>
    <w:p>
      <w:pPr>
        <w:numPr>
          <w:ilvl w:val="0"/>
          <w:numId w:val="1011"/>
        </w:numPr>
        <w:pStyle w:val="Compact"/>
      </w:pPr>
      <w:r>
        <w:t xml:space="preserve">Road Freight (500 km): 1.5 kg * 500 km = 0.75 tkm. Emissions: 0.75 tkm * 0.1 kgCO2e/tkm = 0.075 kgCO2e</w:t>
      </w:r>
    </w:p>
    <w:p>
      <w:pPr>
        <w:numPr>
          <w:ilvl w:val="0"/>
          <w:numId w:val="1011"/>
        </w:numPr>
        <w:pStyle w:val="Compact"/>
      </w:pPr>
      <w:r>
        <w:rPr>
          <w:bCs/>
          <w:b/>
        </w:rPr>
        <w:t xml:space="preserve">Downstream Transport Emissions: 0.1425 + 0.075 = 0.2175 kgCO2e</w:t>
      </w:r>
      <w:r>
        <w:t xml:space="preserve"> </w:t>
      </w:r>
      <w:r>
        <w:t xml:space="preserve">(Scope 3, Category 9 - Downstream Transportation and Distribution)</w:t>
      </w:r>
    </w:p>
    <w:bookmarkEnd w:id="38"/>
    <w:bookmarkStart w:id="39" w:name="last-mile-delivery"/>
    <w:p>
      <w:pPr>
        <w:pStyle w:val="Heading4"/>
      </w:pPr>
      <w:r>
        <w:t xml:space="preserve">Last-Mile Delivery</w:t>
      </w:r>
    </w:p>
    <w:p>
      <w:pPr>
        <w:numPr>
          <w:ilvl w:val="0"/>
          <w:numId w:val="1012"/>
        </w:numPr>
        <w:pStyle w:val="Compact"/>
      </w:pPr>
      <w:r>
        <w:t xml:space="preserve">Distance: 50 km</w:t>
      </w:r>
    </w:p>
    <w:p>
      <w:pPr>
        <w:numPr>
          <w:ilvl w:val="0"/>
          <w:numId w:val="1012"/>
        </w:numPr>
        <w:pStyle w:val="Compact"/>
      </w:pPr>
      <w:r>
        <w:t xml:space="preserve">Emissions: 50 km * 0.25 kgCO2e/km = 12.5 kgCO2e</w:t>
      </w:r>
    </w:p>
    <w:p>
      <w:pPr>
        <w:numPr>
          <w:ilvl w:val="0"/>
          <w:numId w:val="1012"/>
        </w:numPr>
        <w:pStyle w:val="Compact"/>
      </w:pPr>
      <w:r>
        <w:rPr>
          <w:bCs/>
          <w:b/>
        </w:rPr>
        <w:t xml:space="preserve">Last-Mile Delivery Emissions: 12.5 kgCO2e</w:t>
      </w:r>
      <w:r>
        <w:t xml:space="preserve"> </w:t>
      </w:r>
      <w:r>
        <w:t xml:space="preserve">(Scope 3, Category 9 - Downstream Transportation and Distribution)</w:t>
      </w:r>
    </w:p>
    <w:bookmarkEnd w:id="39"/>
    <w:bookmarkEnd w:id="40"/>
    <w:bookmarkStart w:id="41" w:name="use-phase"/>
    <w:p>
      <w:pPr>
        <w:pStyle w:val="Heading3"/>
      </w:pPr>
      <w:r>
        <w:t xml:space="preserve">4.4. Use Phase</w:t>
      </w:r>
    </w:p>
    <w:p>
      <w:pPr>
        <w:numPr>
          <w:ilvl w:val="0"/>
          <w:numId w:val="1013"/>
        </w:numPr>
        <w:pStyle w:val="Compact"/>
      </w:pPr>
      <w:r>
        <w:t xml:space="preserve">Total Energy Consumption over 5 years: 10 kWh/year * 5 years = 50 kWh</w:t>
      </w:r>
    </w:p>
    <w:p>
      <w:pPr>
        <w:numPr>
          <w:ilvl w:val="0"/>
          <w:numId w:val="1013"/>
        </w:numPr>
        <w:pStyle w:val="Compact"/>
      </w:pPr>
      <w:r>
        <w:t xml:space="preserve">Emissions: 50 kWh * 0.3 kgCO2e/kWh = 15.0 kgCO2e</w:t>
      </w:r>
    </w:p>
    <w:p>
      <w:pPr>
        <w:numPr>
          <w:ilvl w:val="0"/>
          <w:numId w:val="1013"/>
        </w:numPr>
        <w:pStyle w:val="Compact"/>
      </w:pPr>
      <w:r>
        <w:rPr>
          <w:bCs/>
          <w:b/>
        </w:rPr>
        <w:t xml:space="preserve">Use Phase Emissions: 15.0 kgCO2e</w:t>
      </w:r>
      <w:r>
        <w:t xml:space="preserve"> </w:t>
      </w:r>
      <w:r>
        <w:t xml:space="preserve">(Scope 3, Category 11 - Use of Sold Products)</w:t>
      </w:r>
    </w:p>
    <w:bookmarkEnd w:id="41"/>
    <w:bookmarkStart w:id="42" w:name="end-of-life-eol-phase"/>
    <w:p>
      <w:pPr>
        <w:pStyle w:val="Heading3"/>
      </w:pPr>
      <w:r>
        <w:t xml:space="preserve">4.5. End-of-Life (EoL) Phase</w:t>
      </w:r>
    </w:p>
    <w:p>
      <w:pPr>
        <w:numPr>
          <w:ilvl w:val="0"/>
          <w:numId w:val="1014"/>
        </w:numPr>
        <w:pStyle w:val="Compact"/>
      </w:pPr>
      <w:r>
        <w:t xml:space="preserve">Product Weight at EoL (approx): 1.17 kg (materials only, excluding packaging that\'s likely disposed earlier)</w:t>
      </w:r>
    </w:p>
    <w:p>
      <w:pPr>
        <w:numPr>
          <w:ilvl w:val="0"/>
          <w:numId w:val="1014"/>
        </w:numPr>
        <w:pStyle w:val="Compact"/>
      </w:pPr>
      <w:r>
        <w:t xml:space="preserve">Recycled Portion: 85% * 1.17 kg = 0.9945 kg</w:t>
      </w:r>
    </w:p>
    <w:p>
      <w:pPr>
        <w:numPr>
          <w:ilvl w:val="0"/>
          <w:numId w:val="1014"/>
        </w:numPr>
        <w:pStyle w:val="Compact"/>
      </w:pPr>
      <w:r>
        <w:t xml:space="preserve">Non-Recycled Portion (to landfill): 15% * 1.17 kg = 0.1755 kg</w:t>
      </w:r>
    </w:p>
    <w:p>
      <w:pPr>
        <w:numPr>
          <w:ilvl w:val="0"/>
          <w:numId w:val="1014"/>
        </w:numPr>
        <w:pStyle w:val="Compact"/>
      </w:pPr>
      <w:r>
        <w:t xml:space="preserve">Emissions from Landfill: 0.1755 kg * 0.1 kgCO2e/kg = 0.01755 kgCO2e</w:t>
      </w:r>
    </w:p>
    <w:p>
      <w:pPr>
        <w:numPr>
          <w:ilvl w:val="0"/>
          <w:numId w:val="1014"/>
        </w:numPr>
        <w:pStyle w:val="Compact"/>
      </w:pPr>
      <w:r>
        <w:t xml:space="preserve">Recycling Credits: The average emission factor for materials is roughly 7.62 kgCO2e / 1.17 kg = 6.51 kgCO2e/kg.</w:t>
      </w:r>
      <w:r>
        <w:t xml:space="preserve"> </w:t>
      </w:r>
      <w:r>
        <w:t xml:space="preserve">Applying a conservative credit of 50% for recycled materials: 0.9945 kg * (6.51 kgCO2e/kg * 0.5) = -3.237 kgCO2e (avoided emissions). This represents the benefit of avoiding virgin material production.</w:t>
      </w:r>
    </w:p>
    <w:p>
      <w:pPr>
        <w:numPr>
          <w:ilvl w:val="0"/>
          <w:numId w:val="1014"/>
        </w:numPr>
        <w:pStyle w:val="Compact"/>
      </w:pPr>
      <w:r>
        <w:rPr>
          <w:bCs/>
          <w:b/>
        </w:rPr>
        <w:t xml:space="preserve">Net EoL Emissions: 0.01755 kgCO2e - 3.237 kgCO2e = -3.219 kgCO2e</w:t>
      </w:r>
      <w:r>
        <w:t xml:space="preserve"> </w:t>
      </w:r>
      <w:r>
        <w:t xml:space="preserve">(Scope 3, Category 12 - End-of-Life Treatment of Sold Products)</w:t>
      </w:r>
    </w:p>
    <w:bookmarkEnd w:id="42"/>
    <w:bookmarkStart w:id="43" w:name="X31abf639d3926764912b6c7c51d2d23d90d32c3"/>
    <w:p>
      <w:pPr>
        <w:pStyle w:val="Heading3"/>
      </w:pPr>
      <w:r>
        <w:t xml:space="preserve">4.6. Summary of Emissions by Life Cycle Stage and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 Cycle Stage</w:t>
            </w:r>
          </w:p>
        </w:tc>
        <w:tc>
          <w:tcPr/>
          <w:p>
            <w:pPr>
              <w:pStyle w:val="Compact"/>
              <w:jc w:val="left"/>
            </w:pPr>
            <w:r>
              <w:t xml:space="preserve">Emissions (kgCO2e)</w:t>
            </w:r>
          </w:p>
        </w:tc>
        <w:tc>
          <w:tcPr/>
          <w:p>
            <w:pPr>
              <w:pStyle w:val="Compact"/>
              <w:jc w:val="left"/>
            </w:pPr>
            <w:r>
              <w:t xml:space="preserve">GHG Protocol Scope</w:t>
            </w:r>
          </w:p>
        </w:tc>
        <w:tc>
          <w:tcPr/>
          <w:p>
            <w:pPr>
              <w:pStyle w:val="Compact"/>
              <w:jc w:val="left"/>
            </w:pPr>
            <w:r>
              <w:t xml:space="preserve">Category</w:t>
            </w:r>
          </w:p>
        </w:tc>
      </w:tr>
      <w:tr>
        <w:tc>
          <w:tcPr/>
          <w:p>
            <w:pPr>
              <w:pStyle w:val="Compact"/>
              <w:jc w:val="left"/>
            </w:pPr>
            <w:r>
              <w:t xml:space="preserve">Materials Acquisition &amp; Pre-processing</w:t>
            </w:r>
          </w:p>
        </w:tc>
        <w:tc>
          <w:tcPr/>
          <w:p>
            <w:pPr>
              <w:pStyle w:val="Compact"/>
              <w:jc w:val="left"/>
            </w:pPr>
            <w:r>
              <w:t xml:space="preserve">7.620</w:t>
            </w:r>
          </w:p>
        </w:tc>
        <w:tc>
          <w:tcPr/>
          <w:p>
            <w:pPr>
              <w:pStyle w:val="Compact"/>
              <w:jc w:val="left"/>
            </w:pPr>
            <w:r>
              <w:t xml:space="preserve">Scope 3</w:t>
            </w:r>
          </w:p>
        </w:tc>
        <w:tc>
          <w:tcPr/>
          <w:p>
            <w:pPr>
              <w:pStyle w:val="Compact"/>
              <w:jc w:val="left"/>
            </w:pPr>
            <w:r>
              <w:t xml:space="preserve">Category 1 (Purchased Goods and Services)</w:t>
            </w:r>
          </w:p>
        </w:tc>
      </w:tr>
      <w:tr>
        <w:tc>
          <w:tcPr/>
          <w:p>
            <w:pPr>
              <w:pStyle w:val="Compact"/>
              <w:jc w:val="left"/>
            </w:pPr>
            <w:r>
              <w:t xml:space="preserve">Production (Scope 2 - Purchased Energy)</w:t>
            </w:r>
          </w:p>
        </w:tc>
        <w:tc>
          <w:tcPr/>
          <w:p>
            <w:pPr>
              <w:pStyle w:val="Compact"/>
              <w:jc w:val="left"/>
            </w:pPr>
            <w:r>
              <w:t xml:space="preserve">10.500</w:t>
            </w:r>
          </w:p>
        </w:tc>
        <w:tc>
          <w:tcPr/>
          <w:p>
            <w:pPr>
              <w:pStyle w:val="Compact"/>
              <w:jc w:val="left"/>
            </w:pPr>
            <w:r>
              <w:t xml:space="preserve">Scope 2</w:t>
            </w:r>
          </w:p>
        </w:tc>
        <w:tc>
          <w:tcPr/>
          <w:p>
            <w:pPr>
              <w:pStyle w:val="Compact"/>
              <w:jc w:val="left"/>
            </w:pPr>
            <w:r>
              <w:t xml:space="preserve">Electricity</w:t>
            </w:r>
          </w:p>
        </w:tc>
      </w:tr>
      <w:tr>
        <w:tc>
          <w:tcPr/>
          <w:p>
            <w:pPr>
              <w:pStyle w:val="Compact"/>
              <w:jc w:val="left"/>
            </w:pPr>
            <w:r>
              <w:t xml:space="preserve">Production (Scope 3 - Upstream F&amp;E related)</w:t>
            </w:r>
          </w:p>
        </w:tc>
        <w:tc>
          <w:tcPr/>
          <w:p>
            <w:pPr>
              <w:pStyle w:val="Compact"/>
              <w:jc w:val="left"/>
            </w:pPr>
            <w:r>
              <w:t xml:space="preserve">0.700</w:t>
            </w:r>
          </w:p>
        </w:tc>
        <w:tc>
          <w:tcPr/>
          <w:p>
            <w:pPr>
              <w:pStyle w:val="Compact"/>
              <w:jc w:val="left"/>
            </w:pPr>
            <w:r>
              <w:t xml:space="preserve">Scope 3</w:t>
            </w:r>
          </w:p>
        </w:tc>
        <w:tc>
          <w:tcPr/>
          <w:p>
            <w:pPr>
              <w:pStyle w:val="Compact"/>
              <w:jc w:val="left"/>
            </w:pPr>
            <w:r>
              <w:t xml:space="preserve">Category 3 (Upstream Fuel &amp; Energy related)</w:t>
            </w:r>
          </w:p>
        </w:tc>
      </w:tr>
      <w:tr>
        <w:tc>
          <w:tcPr/>
          <w:p>
            <w:pPr>
              <w:pStyle w:val="Compact"/>
              <w:jc w:val="left"/>
            </w:pPr>
            <w:r>
              <w:t xml:space="preserve">Upstream Transport (Materials)</w:t>
            </w:r>
          </w:p>
        </w:tc>
        <w:tc>
          <w:tcPr/>
          <w:p>
            <w:pPr>
              <w:pStyle w:val="Compact"/>
              <w:jc w:val="left"/>
            </w:pPr>
            <w:r>
              <w:t xml:space="preserve">0.234</w:t>
            </w:r>
          </w:p>
        </w:tc>
        <w:tc>
          <w:tcPr/>
          <w:p>
            <w:pPr>
              <w:pStyle w:val="Compact"/>
              <w:jc w:val="left"/>
            </w:pPr>
            <w:r>
              <w:t xml:space="preserve">Scope 3</w:t>
            </w:r>
          </w:p>
        </w:tc>
        <w:tc>
          <w:tcPr/>
          <w:p>
            <w:pPr>
              <w:pStyle w:val="Compact"/>
              <w:jc w:val="left"/>
            </w:pPr>
            <w:r>
              <w:t xml:space="preserve">Category 4 (Upstream Transportation and Distribution)</w:t>
            </w:r>
          </w:p>
        </w:tc>
      </w:tr>
      <w:tr>
        <w:tc>
          <w:tcPr/>
          <w:p>
            <w:pPr>
              <w:pStyle w:val="Compact"/>
              <w:jc w:val="left"/>
            </w:pPr>
            <w:r>
              <w:t xml:space="preserve">Downstream Transport (Product to Market)</w:t>
            </w:r>
          </w:p>
        </w:tc>
        <w:tc>
          <w:tcPr/>
          <w:p>
            <w:pPr>
              <w:pStyle w:val="Compact"/>
              <w:jc w:val="left"/>
            </w:pPr>
            <w:r>
              <w:t xml:space="preserve">0.218</w:t>
            </w:r>
          </w:p>
        </w:tc>
        <w:tc>
          <w:tcPr/>
          <w:p>
            <w:pPr>
              <w:pStyle w:val="Compact"/>
              <w:jc w:val="left"/>
            </w:pPr>
            <w:r>
              <w:t xml:space="preserve">Scope 3</w:t>
            </w:r>
          </w:p>
        </w:tc>
        <w:tc>
          <w:tcPr/>
          <w:p>
            <w:pPr>
              <w:pStyle w:val="Compact"/>
              <w:jc w:val="left"/>
            </w:pPr>
            <w:r>
              <w:t xml:space="preserve">Category 9 (Downstream Transportation and Distribution)</w:t>
            </w:r>
          </w:p>
        </w:tc>
      </w:tr>
      <w:tr>
        <w:tc>
          <w:tcPr/>
          <w:p>
            <w:pPr>
              <w:pStyle w:val="Compact"/>
              <w:jc w:val="left"/>
            </w:pPr>
            <w:r>
              <w:t xml:space="preserve">Last-Mile Delivery</w:t>
            </w:r>
          </w:p>
        </w:tc>
        <w:tc>
          <w:tcPr/>
          <w:p>
            <w:pPr>
              <w:pStyle w:val="Compact"/>
              <w:jc w:val="left"/>
            </w:pPr>
            <w:r>
              <w:t xml:space="preserve">12.500</w:t>
            </w:r>
          </w:p>
        </w:tc>
        <w:tc>
          <w:tcPr/>
          <w:p>
            <w:pPr>
              <w:pStyle w:val="Compact"/>
              <w:jc w:val="left"/>
            </w:pPr>
            <w:r>
              <w:t xml:space="preserve">Scope 3</w:t>
            </w:r>
          </w:p>
        </w:tc>
        <w:tc>
          <w:tcPr/>
          <w:p>
            <w:pPr>
              <w:pStyle w:val="Compact"/>
              <w:jc w:val="left"/>
            </w:pPr>
            <w:r>
              <w:t xml:space="preserve">Category 9 (Downstream Transportation and Distribution)</w:t>
            </w:r>
          </w:p>
        </w:tc>
      </w:tr>
      <w:tr>
        <w:tc>
          <w:tcPr/>
          <w:p>
            <w:pPr>
              <w:pStyle w:val="Compact"/>
              <w:jc w:val="left"/>
            </w:pPr>
            <w:r>
              <w:t xml:space="preserve">Use Phase</w:t>
            </w:r>
          </w:p>
        </w:tc>
        <w:tc>
          <w:tcPr/>
          <w:p>
            <w:pPr>
              <w:pStyle w:val="Compact"/>
              <w:jc w:val="left"/>
            </w:pPr>
            <w:r>
              <w:t xml:space="preserve">15.000</w:t>
            </w:r>
          </w:p>
        </w:tc>
        <w:tc>
          <w:tcPr/>
          <w:p>
            <w:pPr>
              <w:pStyle w:val="Compact"/>
              <w:jc w:val="left"/>
            </w:pPr>
            <w:r>
              <w:t xml:space="preserve">Scope 3</w:t>
            </w:r>
          </w:p>
        </w:tc>
        <w:tc>
          <w:tcPr/>
          <w:p>
            <w:pPr>
              <w:pStyle w:val="Compact"/>
              <w:jc w:val="left"/>
            </w:pPr>
            <w:r>
              <w:t xml:space="preserve">Category 11 (Use of Sold Products)</w:t>
            </w:r>
          </w:p>
        </w:tc>
      </w:tr>
      <w:tr>
        <w:tc>
          <w:tcPr/>
          <w:p>
            <w:pPr>
              <w:pStyle w:val="Compact"/>
              <w:jc w:val="left"/>
            </w:pPr>
            <w:r>
              <w:t xml:space="preserve">End-of-Life (Net)</w:t>
            </w:r>
          </w:p>
        </w:tc>
        <w:tc>
          <w:tcPr/>
          <w:p>
            <w:pPr>
              <w:pStyle w:val="Compact"/>
              <w:jc w:val="left"/>
            </w:pPr>
            <w:r>
              <w:t xml:space="preserve">-3.219</w:t>
            </w:r>
          </w:p>
        </w:tc>
        <w:tc>
          <w:tcPr/>
          <w:p>
            <w:pPr>
              <w:pStyle w:val="Compact"/>
              <w:jc w:val="left"/>
            </w:pPr>
            <w:r>
              <w:t xml:space="preserve">Scope 3</w:t>
            </w:r>
          </w:p>
        </w:tc>
        <w:tc>
          <w:tcPr/>
          <w:p>
            <w:pPr>
              <w:pStyle w:val="Compact"/>
              <w:jc w:val="left"/>
            </w:pPr>
            <w:r>
              <w:t xml:space="preserve">Category 12 (End-of-Life Treatment of Sold Products)</w:t>
            </w:r>
          </w:p>
        </w:tc>
      </w:tr>
      <w:tr>
        <w:tc>
          <w:tcPr/>
          <w:p>
            <w:pPr>
              <w:pStyle w:val="Compact"/>
              <w:jc w:val="right"/>
            </w:pPr>
            <w:r>
              <w:rPr>
                <w:bCs/>
                <w:b/>
              </w:rPr>
              <w:t xml:space="preserve">TOTAL PRODUCT CARBON FOOTPRINT (PCF):</w:t>
            </w:r>
          </w:p>
        </w:tc>
        <w:tc>
          <w:tcPr/>
          <w:p>
            <w:pPr>
              <w:pStyle w:val="Compact"/>
              <w:jc w:val="left"/>
            </w:pPr>
            <w:r>
              <w:rPr>
                <w:bCs/>
                <w:b/>
              </w:rPr>
              <w:t xml:space="preserve">43.553 kgCO2e per unit</w:t>
            </w:r>
          </w:p>
        </w:tc>
        <w:tc>
          <w:tcPr/>
          <w:p>
            <w:pPr>
              <w:pStyle w:val="Compact"/>
            </w:pPr>
          </w:p>
        </w:tc>
        <w:tc>
          <w:tcPr/>
          <w:p>
            <w:pPr>
              <w:pStyle w:val="Compact"/>
            </w:pPr>
          </w:p>
        </w:tc>
      </w:tr>
    </w:tbl>
    <w:p>
      <w:pPr>
        <w:pStyle w:val="BodyText"/>
      </w:pPr>
      <w:r>
        <w:rPr>
          <w:bCs/>
          <w:b/>
        </w:rPr>
        <w:t xml:space="preserve">Total PCF for hdopfnnrkt: 43.55 kgCO2e/unit</w:t>
      </w:r>
    </w:p>
    <w:p>
      <w:r>
        <w:pict>
          <v:rect style="width:0;height:1.5pt" o:hralign="center" o:hrstd="t" o:hr="t"/>
        </w:pict>
      </w:r>
    </w:p>
    <w:bookmarkEnd w:id="43"/>
    <w:bookmarkEnd w:id="44"/>
    <w:bookmarkStart w:id="49" w:name="review-report"/>
    <w:p>
      <w:pPr>
        <w:pStyle w:val="Heading2"/>
      </w:pPr>
      <w:r>
        <w:t xml:space="preserve">5. Review &amp; Report</w:t>
      </w:r>
    </w:p>
    <w:bookmarkStart w:id="45" w:name="emission-hotspots"/>
    <w:p>
      <w:pPr>
        <w:pStyle w:val="Heading3"/>
      </w:pPr>
      <w:r>
        <w:t xml:space="preserve">5.1. Emission Hotspots</w:t>
      </w:r>
    </w:p>
    <w:p>
      <w:pPr>
        <w:pStyle w:val="FirstParagraph"/>
      </w:pPr>
      <w:r>
        <w:t xml:space="preserve">The analysis reveals the following key emission hotspots for</w:t>
      </w:r>
      <w:r>
        <w:t xml:space="preserve"> </w:t>
      </w:r>
      <w:r>
        <w:rPr>
          <w:bCs/>
          <w:b/>
        </w:rPr>
        <w:t xml:space="preserve">hdopfnnrkt</w:t>
      </w:r>
      <w:r>
        <w:t xml:space="preserve">:</w:t>
      </w:r>
    </w:p>
    <w:p>
      <w:pPr>
        <w:numPr>
          <w:ilvl w:val="0"/>
          <w:numId w:val="1015"/>
        </w:numPr>
        <w:pStyle w:val="Compact"/>
      </w:pPr>
      <w:r>
        <w:rPr>
          <w:bCs/>
          <w:b/>
        </w:rPr>
        <w:t xml:space="preserve">Use Phase (15.0 kgCO2e):</w:t>
      </w:r>
      <w:r>
        <w:t xml:space="preserve"> </w:t>
      </w:r>
      <w:r>
        <w:t xml:space="preserve">Represents a significant portion of the footprint, primarily due to electricity consumption over the product\'s 5-year lifespan. This highlights the importance of energy-efficient design.</w:t>
      </w:r>
    </w:p>
    <w:p>
      <w:pPr>
        <w:numPr>
          <w:ilvl w:val="0"/>
          <w:numId w:val="1015"/>
        </w:numPr>
        <w:pStyle w:val="Compact"/>
      </w:pPr>
      <w:r>
        <w:rPr>
          <w:bCs/>
          <w:b/>
        </w:rPr>
        <w:t xml:space="preserve">Last-Mile Delivery (12.5 kgCO2e):</w:t>
      </w:r>
      <w:r>
        <w:t xml:space="preserve"> </w:t>
      </w:r>
      <w:r>
        <w:t xml:space="preserve">Despite a short distance, the intensity of parcel delivery by van makes it a substantial contributor, indicating opportunities in optimizing logistics and exploring alternative delivery methods.</w:t>
      </w:r>
    </w:p>
    <w:p>
      <w:pPr>
        <w:numPr>
          <w:ilvl w:val="0"/>
          <w:numId w:val="1015"/>
        </w:numPr>
        <w:pStyle w:val="Compact"/>
      </w:pPr>
      <w:r>
        <w:rPr>
          <w:bCs/>
          <w:b/>
        </w:rPr>
        <w:t xml:space="preserve">Production Phase (11.2 kgCO2e):</w:t>
      </w:r>
      <w:r>
        <w:t xml:space="preserve"> </w:t>
      </w:r>
      <w:r>
        <w:t xml:space="preserve">While 70% renewable energy is used, the remaining 30% grid electricity in China still contributes significantly, along with the upstream emissions from renewable energy infrastructure. Further decarbonization of the energy supply would yield substantial reductions.</w:t>
      </w:r>
    </w:p>
    <w:p>
      <w:pPr>
        <w:numPr>
          <w:ilvl w:val="0"/>
          <w:numId w:val="1015"/>
        </w:numPr>
        <w:pStyle w:val="Compact"/>
      </w:pPr>
      <w:r>
        <w:rPr>
          <w:bCs/>
          <w:b/>
        </w:rPr>
        <w:t xml:space="preserve">Materials Acquisition &amp; Pre-processing (7.62 kgCO2e):</w:t>
      </w:r>
      <w:r>
        <w:t xml:space="preserve"> </w:t>
      </w:r>
      <w:r>
        <w:t xml:space="preserve">Specific high-impact materials like aluminum and electronic components are major drivers. Shifting to recycled content or lower-impact alternatives for these materials is crucial.</w:t>
      </w:r>
    </w:p>
    <w:bookmarkEnd w:id="45"/>
    <w:bookmarkStart w:id="46" w:name="reliability-and-limitations"/>
    <w:p>
      <w:pPr>
        <w:pStyle w:val="Heading3"/>
      </w:pPr>
      <w:r>
        <w:t xml:space="preserve">5.2. Reliability and Limitations</w:t>
      </w:r>
    </w:p>
    <w:p>
      <w:pPr>
        <w:pStyle w:val="FirstParagraph"/>
      </w:pPr>
      <w:r>
        <w:t xml:space="preserve">The reliability of this PCF analysis is enhanced by using specific data for the Bill of Materials, energy consumption, and incorporating detailed logistics and end-of-life scenarios. Where primary data was unavailable (e.g., for certain generic emission factors), industry-average secondary data from reputable sources (e.g., Ecoinvent, DEFRA) has been applied. The calculations assume consistent performance across the product\'s lifespan and typical market conditions for transport and energy. The \'factory_gate\' system boundary for direct corporate reporting is acknowledged, with the PCF being extended to \'cradle-to-grave\' for comprehensive product assessment. Future analyses should prioritize collecting primary data from supply chain partners to further reduce uncertainty and improve accuracy.</w:t>
      </w:r>
    </w:p>
    <w:bookmarkEnd w:id="46"/>
    <w:bookmarkStart w:id="48" w:name="recommendations-for-emission-reduction"/>
    <w:p>
      <w:pPr>
        <w:pStyle w:val="Heading3"/>
      </w:pPr>
      <w:r>
        <w:t xml:space="preserve">5.3. Recommendations for Emission Reduction</w:t>
      </w:r>
    </w:p>
    <w:p>
      <w:pPr>
        <w:numPr>
          <w:ilvl w:val="0"/>
          <w:numId w:val="1016"/>
        </w:numPr>
        <w:pStyle w:val="Compact"/>
      </w:pPr>
      <w:r>
        <w:rPr>
          <w:bCs/>
          <w:b/>
        </w:rPr>
        <w:t xml:space="preserve">Energy Efficiency in Use:</w:t>
      </w:r>
      <w:r>
        <w:t xml:space="preserve"> </w:t>
      </w:r>
      <w:r>
        <w:t xml:space="preserve">Invest in R&amp;D to significantly reduce the product\'s energy consumption during its use phase. Clear labeling and consumer education can also promote efficient usage.</w:t>
      </w:r>
    </w:p>
    <w:p>
      <w:pPr>
        <w:numPr>
          <w:ilvl w:val="0"/>
          <w:numId w:val="1016"/>
        </w:numPr>
        <w:pStyle w:val="Compact"/>
      </w:pPr>
      <w:r>
        <w:rPr>
          <w:bCs/>
          <w:b/>
        </w:rPr>
        <w:t xml:space="preserve">Supply Chain Decarbonization:</w:t>
      </w:r>
      <w:r>
        <w:t xml:space="preserve"> </w:t>
      </w:r>
      <w:r>
        <w:t xml:space="preserve">Engage with material suppliers to increase the adoption of lower-carbon production methods, higher recycled content, and renewable energy in their operations.</w:t>
      </w:r>
    </w:p>
    <w:p>
      <w:pPr>
        <w:numPr>
          <w:ilvl w:val="0"/>
          <w:numId w:val="1016"/>
        </w:numPr>
        <w:pStyle w:val="Compact"/>
      </w:pPr>
      <w:r>
        <w:rPr>
          <w:bCs/>
          <w:b/>
        </w:rPr>
        <w:t xml:space="preserve">Logistics Optimization:</w:t>
      </w:r>
      <w:r>
        <w:t xml:space="preserve"> </w:t>
      </w:r>
      <w:r>
        <w:t xml:space="preserve">Explore strategies to reduce emissions from last-mile delivery, such as optimizing delivery routes, transitioning to electric delivery vehicles, or promoting pick-up points. For longer haul transport, evaluate opportunities for shifting to lower-carbon modes like rail or sea where feasible.</w:t>
      </w:r>
    </w:p>
    <w:p>
      <w:pPr>
        <w:numPr>
          <w:ilvl w:val="0"/>
          <w:numId w:val="1016"/>
        </w:numPr>
        <w:pStyle w:val="Compact"/>
      </w:pPr>
      <w:r>
        <w:rPr>
          <w:bCs/>
          <w:b/>
        </w:rPr>
        <w:t xml:space="preserve">Circular Economy Integration:</w:t>
      </w:r>
      <w:r>
        <w:t xml:space="preserve"> </w:t>
      </w:r>
      <w:r>
        <w:t xml:space="preserve">Leverage the existing take-back program (</w:t>
      </w:r>
      <w:r>
        <w:rPr>
          <w:bCs/>
          <w:b/>
        </w:rPr>
        <w:t xml:space="preserve">lxlfqqkrnv</w:t>
      </w:r>
      <w:r>
        <w:t xml:space="preserve">) to maximize refurbishment and reuse. Explore design for disassembly and material recovery to further increase the effective recyclability of components beyond the stated</w:t>
      </w:r>
      <w:r>
        <w:t xml:space="preserve"> </w:t>
      </w:r>
      <w:r>
        <w:rPr>
          <w:bCs/>
          <w:b/>
        </w:rPr>
        <w:t xml:space="preserve">oqzrdryhrv</w:t>
      </w:r>
      <w:r>
        <w:t xml:space="preserve">.</w:t>
      </w:r>
    </w:p>
    <w:p>
      <w:pPr>
        <w:numPr>
          <w:ilvl w:val="0"/>
          <w:numId w:val="1016"/>
        </w:numPr>
        <w:pStyle w:val="Compact"/>
      </w:pPr>
      <w:r>
        <w:rPr>
          <w:bCs/>
          <w:b/>
        </w:rPr>
        <w:t xml:space="preserve">Renewable Energy Expansion:</w:t>
      </w:r>
      <w:r>
        <w:t xml:space="preserve"> </w:t>
      </w:r>
      <w:r>
        <w:t xml:space="preserve">Increase the percentage of renewable energy used in manufacturing beyond the current</w:t>
      </w:r>
      <w:r>
        <w:t xml:space="preserve"> </w:t>
      </w:r>
      <w:r>
        <w:rPr>
          <w:bCs/>
          <w:b/>
        </w:rPr>
        <w:t xml:space="preserve">rlqkmquykk</w:t>
      </w:r>
      <w:r>
        <w:t xml:space="preserve"> </w:t>
      </w:r>
      <w:r>
        <w:t xml:space="preserve">(70%) through on-site generation or certified renewable energy purchases, further reducing Scope 2 emissions.</w:t>
      </w:r>
    </w:p>
    <w:p>
      <w:r>
        <w:pict>
          <v:rect style="width:0;height:1.5pt" o:hralign="center" o:hrstd="t" o:hr="t"/>
        </w:pict>
      </w:r>
    </w:p>
    <w:p>
      <w:pPr>
        <w:pStyle w:val="FirstParagraph"/>
      </w:pPr>
      <w:r>
        <w:t xml:space="preserve">Confidential - Internal Use Only | Page</w:t>
      </w:r>
      <w:r>
        <w:t xml:space="preserve"> </w:t>
      </w:r>
      <w:bookmarkStart w:id="47" w:name="pageNumber"/>
      <w:bookmarkEnd w:id="47"/>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hdopfnnrkt - vmwwtdfunu</dc:title>
  <dc:creator/>
  <dc:description>High-detail Product Carbon Footprint (PCF) analysis for hdopfnnrkt, adhering to GHG Protocol and 2026 LSR updates, performed by shvwrdynjn for vmwwtdfunu.</dc:description>
  <dc:language>en</dc:language>
  <cp:keywords/>
  <dcterms:created xsi:type="dcterms:W3CDTF">2026-05-30T17:49:37Z</dcterms:created>
  <dcterms:modified xsi:type="dcterms:W3CDTF">2026-05-30T17:49:37Z</dcterms:modified>
</cp:coreProperties>
</file>

<file path=docProps/custom.xml><?xml version="1.0" encoding="utf-8"?>
<Properties xmlns="http://schemas.openxmlformats.org/officeDocument/2006/custom-properties" xmlns:vt="http://schemas.openxmlformats.org/officeDocument/2006/docPropsVTypes"/>
</file>