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hdkqvmvukn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hdkqvmvukn</w:t>
      </w:r>
    </w:p>
    <w:p>
      <w:pPr>
        <w:pStyle w:val="BodyText"/>
      </w:pPr>
      <w:r>
        <w:t xml:space="preserve">Company: wywpvvsvuq</w:t>
      </w:r>
    </w:p>
    <w:p>
      <w:pPr>
        <w:pStyle w:val="BodyText"/>
      </w:pPr>
      <w:r>
        <w:t xml:space="preserve">Accounting Standard: GHG Protocol</w:t>
      </w:r>
    </w:p>
    <w:p>
      <w:pPr>
        <w:pStyle w:val="BodyText"/>
      </w:pPr>
      <w:r>
        <w:t xml:space="preserve">Senior Sustainability Consultant: trnufjghgi</w:t>
      </w:r>
    </w:p>
    <w:p>
      <w:pPr>
        <w:pStyle w:val="BodyText"/>
      </w:pPr>
      <w:r>
        <w:t xml:space="preserve">This report is generated based on available data and industry standards, providing an estimate of the product\'s carbon footprint.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`hdkqvmvukn`, manufactured by `wywpvvsvuq`. The analysis adheres to the GHG Protocol standards, categorizing emissions into Scope 1, 2, and 3, and incorporates the 2026 Land Sector and Removals (LSR) Standard for land use and carbon removals. The primary system boundary for the core PCF is \'factory-gate\', with an extended analysis covering downstream use and end-of-life stages to provide a comprehensive view. The total estimated carbon footprint for `hdkqvmvukn` across its extended lifecycle is approximately 134.33 kgCO2e per functional unit. The Use Phase contributes the most significant portion of the emissions, highlighting opportunities for energy efficiency improvements during product operation.</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`hdkqvmvukn` follows the five-step methodology prescribed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`hdkqvmvukn`.</w:t>
      </w:r>
    </w:p>
    <w:p>
      <w:pPr>
        <w:numPr>
          <w:ilvl w:val="1"/>
          <w:numId w:val="1002"/>
        </w:numPr>
        <w:pStyle w:val="Compact"/>
      </w:pPr>
      <w:r>
        <w:rPr>
          <w:bCs/>
          <w:b/>
        </w:rPr>
        <w:t xml:space="preserve">System Boundary:</w:t>
      </w:r>
      <w:r>
        <w:t xml:space="preserve"> </w:t>
      </w:r>
      <w:r>
        <w:t xml:space="preserve">The core PCF is established at the \'factory-gate\', encompassing raw material acquisition, inbound transportation, and manufacturing processes within the production facility in China. An extended lifecycle perspective includes outbound logistics, the product\'s use phase, and its end-of-life treatment.</w:t>
      </w:r>
    </w:p>
    <w:p>
      <w:pPr>
        <w:numPr>
          <w:ilvl w:val="1"/>
          <w:numId w:val="1002"/>
        </w:numPr>
        <w:pStyle w:val="Compact"/>
      </w:pPr>
      <w:r>
        <w:rPr>
          <w:bCs/>
          <w:b/>
        </w:rPr>
        <w:t xml:space="preserve">Geographic Scope:</w:t>
      </w:r>
      <w:r>
        <w:t xml:space="preserve"> </w:t>
      </w:r>
      <w:r>
        <w:t xml:space="preserve">Final production occurs in China, with a supply chain focus on Europe. Product use and end-of-life scenarios are assumed to reflect typical European consumption and waste management practices.</w:t>
      </w:r>
    </w:p>
    <w:p>
      <w:pPr>
        <w:numPr>
          <w:ilvl w:val="1"/>
          <w:numId w:val="1002"/>
        </w:numPr>
        <w:pStyle w:val="Compact"/>
      </w:pPr>
      <w:r>
        <w:rPr>
          <w:bCs/>
          <w:b/>
        </w:rPr>
        <w:t xml:space="preserve">Allocation:</w:t>
      </w:r>
      <w:r>
        <w:t xml:space="preserve"> </w:t>
      </w:r>
      <w:r>
        <w:t xml:space="preserve">Emissions are allocated directly to the functional unit of `hdkqvmvukn`. Where shared processes or facilities exist, mass-based allocation is applied for consistency, ensuring proportional distribution of environmental burdens.</w:t>
      </w:r>
    </w:p>
    <w:p>
      <w:pPr>
        <w:numPr>
          <w:ilvl w:val="0"/>
          <w:numId w:val="1001"/>
        </w:numPr>
      </w:pPr>
      <w:r>
        <w:rPr>
          <w:bCs/>
          <w:b/>
        </w:rPr>
        <w:t xml:space="preserve">Map Lifecycle (LCI Inventory Stages):</w:t>
      </w:r>
    </w:p>
    <w:p>
      <w:pPr>
        <w:numPr>
          <w:ilvl w:val="0"/>
          <w:numId w:val="1000"/>
        </w:numPr>
      </w:pPr>
      <w:r>
        <w:t xml:space="preserve">The lifecycle of `hdkqvmvukn` is mapped through the following stages:</w:t>
      </w:r>
    </w:p>
    <w:p>
      <w:pPr>
        <w:numPr>
          <w:ilvl w:val="1"/>
          <w:numId w:val="1003"/>
        </w:numPr>
        <w:pStyle w:val="Compact"/>
      </w:pPr>
      <w:r>
        <w:rPr>
          <w:bCs/>
          <w:b/>
        </w:rPr>
        <w:t xml:space="preserve">Materials Acquisition &amp; Processing:</w:t>
      </w:r>
      <w:r>
        <w:t xml:space="preserve"> </w:t>
      </w:r>
      <w:r>
        <w:t xml:space="preserve">Extraction, refining, and manufacturing of all raw materials detailed in the Bill of Materials (BOM).</w:t>
      </w:r>
    </w:p>
    <w:p>
      <w:pPr>
        <w:numPr>
          <w:ilvl w:val="1"/>
          <w:numId w:val="1003"/>
        </w:numPr>
        <w:pStyle w:val="Compact"/>
      </w:pPr>
      <w:r>
        <w:rPr>
          <w:bCs/>
          <w:b/>
        </w:rPr>
        <w:t xml:space="preserve">Manufacturing (Production):</w:t>
      </w:r>
      <w:r>
        <w:t xml:space="preserve"> </w:t>
      </w:r>
      <w:r>
        <w:t xml:space="preserve">Energy consumption during the assembly and processing of `hdkqvmvukn` at the `wywpvvsvuq` facility in China.</w:t>
      </w:r>
    </w:p>
    <w:p>
      <w:pPr>
        <w:numPr>
          <w:ilvl w:val="1"/>
          <w:numId w:val="1003"/>
        </w:numPr>
        <w:pStyle w:val="Compact"/>
      </w:pPr>
      <w:r>
        <w:rPr>
          <w:bCs/>
          <w:b/>
        </w:rPr>
        <w:t xml:space="preserve">Transportation:</w:t>
      </w:r>
    </w:p>
    <w:p>
      <w:pPr>
        <w:numPr>
          <w:ilvl w:val="2"/>
          <w:numId w:val="1004"/>
        </w:numPr>
        <w:pStyle w:val="Compact"/>
      </w:pPr>
      <w:r>
        <w:t xml:space="preserve">Inbound logistics: Transport of raw materials to the production facility.</w:t>
      </w:r>
    </w:p>
    <w:p>
      <w:pPr>
        <w:numPr>
          <w:ilvl w:val="2"/>
          <w:numId w:val="1004"/>
        </w:numPr>
        <w:pStyle w:val="Compact"/>
      </w:pPr>
      <w:r>
        <w:t xml:space="preserve">Outbound logistics: Transport of the finished product from the factory to a European distribution center.</w:t>
      </w:r>
    </w:p>
    <w:p>
      <w:pPr>
        <w:numPr>
          <w:ilvl w:val="2"/>
          <w:numId w:val="1004"/>
        </w:numPr>
        <w:pStyle w:val="Compact"/>
      </w:pPr>
      <w:r>
        <w:t xml:space="preserve">Last-mile delivery: Transport from the distribution center to the end-customer.</w:t>
      </w:r>
    </w:p>
    <w:p>
      <w:pPr>
        <w:numPr>
          <w:ilvl w:val="1"/>
          <w:numId w:val="1003"/>
        </w:numPr>
        <w:pStyle w:val="Compact"/>
      </w:pPr>
      <w:r>
        <w:rPr>
          <w:bCs/>
          <w:b/>
        </w:rPr>
        <w:t xml:space="preserve">Use Phase:</w:t>
      </w:r>
      <w:r>
        <w:t xml:space="preserve"> </w:t>
      </w:r>
      <w:r>
        <w:t xml:space="preserve">Energy consumption by the product during its assumed lifespan.</w:t>
      </w:r>
    </w:p>
    <w:p>
      <w:pPr>
        <w:numPr>
          <w:ilvl w:val="1"/>
          <w:numId w:val="1003"/>
        </w:numPr>
        <w:pStyle w:val="Compact"/>
      </w:pPr>
      <w:r>
        <w:rPr>
          <w:bCs/>
          <w:b/>
        </w:rPr>
        <w:t xml:space="preserve">End-of-Life (EoL):</w:t>
      </w:r>
      <w:r>
        <w:t xml:space="preserve"> </w:t>
      </w:r>
      <w:r>
        <w:t xml:space="preserve">Emissions/credits associated with the recycling and disposal of the product at the end of its life.</w:t>
      </w:r>
    </w:p>
    <w:p>
      <w:pPr>
        <w:numPr>
          <w:ilvl w:val="0"/>
          <w:numId w:val="1001"/>
        </w:numPr>
      </w:pPr>
      <w:r>
        <w:rPr>
          <w:bCs/>
          <w:b/>
        </w:rPr>
        <w:t xml:space="preserve">Collect Data (Primary/Secondary Data Points):</w:t>
      </w:r>
    </w:p>
    <w:p>
      <w:pPr>
        <w:numPr>
          <w:ilvl w:val="0"/>
          <w:numId w:val="1000"/>
        </w:numPr>
      </w:pPr>
      <w:r>
        <w:t xml:space="preserve">Data collection involved utilizing specific parameters provided and supplementing with industry-standard emission factors where necessary. Assumptions made for placeholder values are explicitly stated below.</w:t>
      </w:r>
    </w:p>
    <w:p>
      <w:pPr>
        <w:numPr>
          <w:ilvl w:val="1"/>
          <w:numId w:val="1005"/>
        </w:numPr>
        <w:pStyle w:val="Compact"/>
      </w:pPr>
      <w:r>
        <w:rPr>
          <w:bCs/>
          <w:b/>
        </w:rPr>
        <w:t xml:space="preserve">Company Name:</w:t>
      </w:r>
      <w:r>
        <w:t xml:space="preserve"> </w:t>
      </w:r>
      <w:r>
        <w:t xml:space="preserve">`wywpvvsvuq`</w:t>
      </w:r>
    </w:p>
    <w:p>
      <w:pPr>
        <w:numPr>
          <w:ilvl w:val="1"/>
          <w:numId w:val="1005"/>
        </w:numPr>
        <w:pStyle w:val="Compact"/>
      </w:pPr>
      <w:r>
        <w:rPr>
          <w:bCs/>
          <w:b/>
        </w:rPr>
        <w:t xml:space="preserve">Product Name:</w:t>
      </w:r>
      <w:r>
        <w:t xml:space="preserve"> </w:t>
      </w:r>
      <w:r>
        <w:t xml:space="preserve">`hdkqvmvukn`</w:t>
      </w:r>
    </w:p>
    <w:p>
      <w:pPr>
        <w:numPr>
          <w:ilvl w:val="1"/>
          <w:numId w:val="1005"/>
        </w:numPr>
        <w:pStyle w:val="Compact"/>
      </w:pPr>
      <w:r>
        <w:rPr>
          <w:bCs/>
          <w:b/>
        </w:rPr>
        <w:t xml:space="preserve">Senior Sustainability Consultant:</w:t>
      </w:r>
      <w:r>
        <w:t xml:space="preserve"> </w:t>
      </w:r>
      <w:r>
        <w:t xml:space="preserve">`trnufjghgi`</w:t>
      </w:r>
    </w:p>
    <w:p>
      <w:pPr>
        <w:numPr>
          <w:ilvl w:val="1"/>
          <w:numId w:val="1005"/>
        </w:numPr>
        <w:pStyle w:val="Compact"/>
      </w:pPr>
      <w:r>
        <w:rPr>
          <w:bCs/>
          <w:b/>
        </w:rPr>
        <w:t xml:space="preserve">Detailed Bill of Materials (BOM):</w:t>
      </w:r>
      <w:r>
        <w:t xml:space="preserve"> </w:t>
      </w:r>
      <w:r>
        <w:t xml:space="preserve">A fabricated BOM, `qygvtirh`, structured as (ID, Description, Category, Process, Qty, Unit, Emission Factor (kgCO2e/Unit), Total Carbon (kgCO2e)), was used. The specific Emission Factors within this BOM are utilized for material impact calculation.</w:t>
      </w:r>
    </w:p>
    <w:p>
      <w:pPr>
        <w:numPr>
          <w:ilvl w:val="1"/>
          <w:numId w:val="1005"/>
        </w:numPr>
        <w:pStyle w:val="Compact"/>
      </w:pPr>
      <w:r>
        <w:rPr>
          <w:bCs/>
          <w:b/>
        </w:rPr>
        <w:t xml:space="preserve">Transport Mode:</w:t>
      </w:r>
    </w:p>
    <w:p>
      <w:pPr>
        <w:numPr>
          <w:ilvl w:val="2"/>
          <w:numId w:val="1006"/>
        </w:numPr>
        <w:pStyle w:val="Compact"/>
      </w:pPr>
      <w:r>
        <w:t xml:space="preserve">Inbound &amp; Outbound: Road freight (Heavy Goods Vehicle, HGV, &gt;20 tonnes).</w:t>
      </w:r>
    </w:p>
    <w:p>
      <w:pPr>
        <w:numPr>
          <w:ilvl w:val="2"/>
          <w:numId w:val="1006"/>
        </w:numPr>
        <w:pStyle w:val="Compact"/>
      </w:pPr>
      <w:r>
        <w:t xml:space="preserve">Last-Mile Delivery: Road freight (Van, &lt;3.5 tonnes).</w:t>
      </w:r>
    </w:p>
    <w:p>
      <w:pPr>
        <w:numPr>
          <w:ilvl w:val="1"/>
          <w:numId w:val="1005"/>
        </w:numPr>
        <w:pStyle w:val="Compact"/>
      </w:pPr>
      <w:r>
        <w:rPr>
          <w:bCs/>
          <w:b/>
        </w:rPr>
        <w:t xml:space="preserve">Transport Distance:</w:t>
      </w:r>
      <w:r>
        <w:t xml:space="preserve"> </w:t>
      </w:r>
      <w:r>
        <w:t xml:space="preserve">Assumed 1500 km for inbound logistics (to China production facility) and 1500 km for outbound logistics (from China to European distribution center). Last-mile delivery is assumed to be 50 km. (Note: `hvnhpdrnpx` was interpreted as a placeholder for general distances, necessitating specific distance assumptions for each transport leg for a high-detail analysis).</w:t>
      </w:r>
    </w:p>
    <w:p>
      <w:pPr>
        <w:numPr>
          <w:ilvl w:val="1"/>
          <w:numId w:val="1005"/>
        </w:numPr>
        <w:pStyle w:val="Compact"/>
      </w:pPr>
      <w:r>
        <w:rPr>
          <w:bCs/>
          <w:b/>
        </w:rPr>
        <w:t xml:space="preserve">Last-Mile Delivery Channel:</w:t>
      </w:r>
      <w:r>
        <w:t xml:space="preserve"> </w:t>
      </w:r>
      <w:r>
        <w:t xml:space="preserve">Assumed "Small parcel delivery van".</w:t>
      </w:r>
    </w:p>
    <w:p>
      <w:pPr>
        <w:numPr>
          <w:ilvl w:val="1"/>
          <w:numId w:val="1005"/>
        </w:numPr>
        <w:pStyle w:val="Compact"/>
      </w:pPr>
      <w:r>
        <w:rPr>
          <w:bCs/>
          <w:b/>
        </w:rPr>
        <w:t xml:space="preserve">Renewable Energy Usage (Production):</w:t>
      </w:r>
      <w:r>
        <w:t xml:space="preserve"> </w:t>
      </w:r>
      <w:r>
        <w:t xml:space="preserve">`qnxvqeqmmx` (assumed 70% of electricity in production is from renewable sources).</w:t>
      </w:r>
    </w:p>
    <w:p>
      <w:pPr>
        <w:numPr>
          <w:ilvl w:val="1"/>
          <w:numId w:val="1005"/>
        </w:numPr>
        <w:pStyle w:val="Compact"/>
      </w:pPr>
      <w:r>
        <w:rPr>
          <w:bCs/>
          <w:b/>
        </w:rPr>
        <w:t xml:space="preserve">Energy Intensity (Production):</w:t>
      </w:r>
      <w:r>
        <w:t xml:space="preserve"> </w:t>
      </w:r>
      <w:r>
        <w:t xml:space="preserve">`qsnxymzeyp` (assumed 20 kWh/unit).</w:t>
      </w:r>
    </w:p>
    <w:p>
      <w:pPr>
        <w:numPr>
          <w:ilvl w:val="1"/>
          <w:numId w:val="1005"/>
        </w:numPr>
        <w:pStyle w:val="Compact"/>
      </w:pPr>
      <w:r>
        <w:rPr>
          <w:bCs/>
          <w:b/>
        </w:rPr>
        <w:t xml:space="preserve">Product Lifespan:</w:t>
      </w:r>
      <w:r>
        <w:t xml:space="preserve"> </w:t>
      </w:r>
      <w:r>
        <w:t xml:space="preserve">`zjnqesjrxu` (assumed 5 years).</w:t>
      </w:r>
    </w:p>
    <w:p>
      <w:pPr>
        <w:numPr>
          <w:ilvl w:val="1"/>
          <w:numId w:val="1005"/>
        </w:numPr>
        <w:pStyle w:val="Compact"/>
      </w:pPr>
      <w:r>
        <w:rPr>
          <w:bCs/>
          <w:b/>
        </w:rPr>
        <w:t xml:space="preserve">Energy Consumption in Use:</w:t>
      </w:r>
      <w:r>
        <w:t xml:space="preserve"> </w:t>
      </w:r>
      <w:r>
        <w:t xml:space="preserve">`dpijqohefn` (assumed 100 kWh/year).</w:t>
      </w:r>
    </w:p>
    <w:p>
      <w:pPr>
        <w:numPr>
          <w:ilvl w:val="1"/>
          <w:numId w:val="1005"/>
        </w:numPr>
        <w:pStyle w:val="Compact"/>
      </w:pPr>
      <w:r>
        <w:rPr>
          <w:bCs/>
          <w:b/>
        </w:rPr>
        <w:t xml:space="preserve">Recyclability Percentage (EoL):</w:t>
      </w:r>
      <w:r>
        <w:t xml:space="preserve"> </w:t>
      </w:r>
      <w:r>
        <w:t xml:space="preserve">`phievhtfeh` (assumed 80%).</w:t>
      </w:r>
    </w:p>
    <w:p>
      <w:pPr>
        <w:numPr>
          <w:ilvl w:val="1"/>
          <w:numId w:val="1005"/>
        </w:numPr>
        <w:pStyle w:val="Compact"/>
      </w:pPr>
      <w:r>
        <w:rPr>
          <w:bCs/>
          <w:b/>
        </w:rPr>
        <w:t xml:space="preserve">Circular/Take-back Programs (EoL):</w:t>
      </w:r>
      <w:r>
        <w:t xml:space="preserve"> </w:t>
      </w:r>
      <w:r>
        <w:t xml:space="preserve">`xtpxjlnnjg` (assumed "Established take-back program for key components, ensuring material recovery.").</w:t>
      </w:r>
    </w:p>
    <w:p>
      <w:pPr>
        <w:numPr>
          <w:ilvl w:val="1"/>
          <w:numId w:val="1005"/>
        </w:numPr>
        <w:pStyle w:val="Compact"/>
      </w:pPr>
      <w:r>
        <w:rPr>
          <w:bCs/>
          <w:b/>
        </w:rPr>
        <w:t xml:space="preserve">Geographic Scope:</w:t>
      </w:r>
      <w:r>
        <w:t xml:space="preserve"> </w:t>
      </w:r>
      <w:r>
        <w:t xml:space="preserve">Final Production Country: China, Supply Chain Focus: Europe Focused.</w:t>
      </w:r>
    </w:p>
    <w:p>
      <w:pPr>
        <w:numPr>
          <w:ilvl w:val="1"/>
          <w:numId w:val="1005"/>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Calculate Emissions:</w:t>
      </w:r>
      <w:r>
        <w:t xml:space="preserve"> </w:t>
      </w:r>
      <w:r>
        <w:t xml:space="preserve">Emissions are calculated using the formula: Activity Data × Emission Factor = CO2e. Emission factors are sourced from the provided BOM, and industry-standard databases like Ecoinvent/DEFRA (or similar authoritative sources) for other lifecycle stages.</w:t>
      </w:r>
    </w:p>
    <w:p>
      <w:pPr>
        <w:numPr>
          <w:ilvl w:val="0"/>
          <w:numId w:val="1001"/>
        </w:numPr>
        <w:pStyle w:val="Compact"/>
      </w:pPr>
      <w:r>
        <w:rPr>
          <w:bCs/>
          <w:b/>
        </w:rPr>
        <w:t xml:space="preserve">Review &amp; Report:</w:t>
      </w:r>
      <w:r>
        <w:t xml:space="preserve"> </w:t>
      </w:r>
      <w:r>
        <w:t xml:space="preserve">Emissions hotspots are identified, and the reliability of the assessment is discussed.</w:t>
      </w:r>
    </w:p>
    <w:bookmarkStart w:id="23" w:name="X25ab271e0b973df754491ec5ddcb2d245f47eaf"/>
    <w:p>
      <w:pPr>
        <w:pStyle w:val="Heading3"/>
      </w:pPr>
      <w:r>
        <w:t xml:space="preserve">GHG Protocol Adherence and 2026 LSR Update</w:t>
      </w:r>
    </w:p>
    <w:p>
      <w:pPr>
        <w:pStyle w:val="FirstParagraph"/>
      </w:pPr>
      <w:r>
        <w:t xml:space="preserve">This analysis strictly adheres to the GHG Protocol Corporate Standard, categorizing emissions as follows:</w:t>
      </w:r>
    </w:p>
    <w:p>
      <w:pPr>
        <w:numPr>
          <w:ilvl w:val="0"/>
          <w:numId w:val="1007"/>
        </w:numPr>
        <w:pStyle w:val="Compact"/>
      </w:pPr>
      <w:r>
        <w:rPr>
          <w:bCs/>
          <w:b/>
        </w:rPr>
        <w:t xml:space="preserve">Scope 1:</w:t>
      </w:r>
      <w:r>
        <w:t xml:space="preserve"> </w:t>
      </w:r>
      <w:r>
        <w:t xml:space="preserve">Direct GHG emissions from sources owned or controlled by `wywpvvsvuq`. For `hdkqvmvukn` production, assuming no direct on-site fuel combustion, Scope 1 emissions are considered negligible.</w:t>
      </w:r>
    </w:p>
    <w:p>
      <w:pPr>
        <w:numPr>
          <w:ilvl w:val="0"/>
          <w:numId w:val="1007"/>
        </w:numPr>
        <w:pStyle w:val="Compact"/>
      </w:pPr>
      <w:r>
        <w:rPr>
          <w:bCs/>
          <w:b/>
        </w:rPr>
        <w:t xml:space="preserve">Scope 2:</w:t>
      </w:r>
      <w:r>
        <w:t xml:space="preserve"> </w:t>
      </w:r>
      <w:r>
        <w:t xml:space="preserve">Indirect GHG emissions from the generation of purchased electricity consumed by `wywpvvsvuq`. This includes emissions from electricity used during the manufacturing phase.</w:t>
      </w:r>
    </w:p>
    <w:p>
      <w:pPr>
        <w:numPr>
          <w:ilvl w:val="0"/>
          <w:numId w:val="1007"/>
        </w:numPr>
        <w:pStyle w:val="Compact"/>
      </w:pPr>
      <w:r>
        <w:rPr>
          <w:bCs/>
          <w:b/>
        </w:rPr>
        <w:t xml:space="preserve">Scope 3:</w:t>
      </w:r>
      <w:r>
        <w:t xml:space="preserve"> </w:t>
      </w:r>
      <w:r>
        <w:t xml:space="preserve">All other indirect emissions that occur in the value chain of `wywpvvsvuq`, both upstream and downstream. This includes emissions from raw materials, transportation (inbound, outbound, last-mile), the use of sold products, and their end-of-life treatment. This report ensures at least 95% coverage for Scope 3 reporting, aligning with 2026 requirements, by including all material upstream and downstream categories.</w:t>
      </w:r>
    </w:p>
    <w:p>
      <w:pPr>
        <w:pStyle w:val="FirstParagraph"/>
      </w:pPr>
      <w:r>
        <w:t xml:space="preserve">The</w:t>
      </w:r>
      <w:r>
        <w:t xml:space="preserve"> </w:t>
      </w:r>
      <w:r>
        <w:rPr>
          <w:bCs/>
          <w:b/>
        </w:rPr>
        <w:t xml:space="preserve">2026 Land Sector and Removals (LSR) Standard</w:t>
      </w:r>
      <w:r>
        <w:t xml:space="preserve"> </w:t>
      </w:r>
      <w:r>
        <w:t xml:space="preserve">is acknowledged and its principles are considered. While direct land use change for raw material extraction for a generic manufactured product like `hdkqvmvukn` often lies outside the immediate control of the manufacturer, the emission factors used for materials implicitly incorporate land-use related impacts where relevant (e.g., in the production of biomass-derived materials). For this specific PCF, direct carbon removals or significant land-use change beyond those embedded in material production are not quantified due to the product\'s nature and data availability, but the framework for their inclusion in future, more detailed assessments is recognized.</w:t>
      </w:r>
    </w:p>
    <w:p>
      <w:r>
        <w:pict>
          <v:rect style="width:0;height:1.5pt" o:hralign="center" o:hrstd="t" o:hr="t"/>
        </w:pict>
      </w:r>
    </w:p>
    <w:bookmarkEnd w:id="23"/>
    <w:bookmarkEnd w:id="24"/>
    <w:bookmarkStart w:id="30" w:name="X375f90d34e2738bf774185f3c83efd090ce459a"/>
    <w:p>
      <w:pPr>
        <w:pStyle w:val="Heading2"/>
      </w:pPr>
      <w:r>
        <w:t xml:space="preserve">3. Detailed Breakdown of Materials and Energy Inputs</w:t>
      </w:r>
    </w:p>
    <w:bookmarkStart w:id="25" w:name="bill-of-materials-bom-data-qygvtirh"/>
    <w:p>
      <w:pPr>
        <w:pStyle w:val="Heading3"/>
      </w:pPr>
      <w:r>
        <w:t xml:space="preserve">3.1. Bill of Materials (BOM) Data (`qygvtirh`)</w:t>
      </w:r>
    </w:p>
    <w:p>
      <w:pPr>
        <w:pStyle w:val="FirstParagraph"/>
      </w:pPr>
      <w:r>
        <w:t xml:space="preserve">The following table details the Bill of Materials for `hdkqvmvukn`, including assumed quantities and specific emission factors, as per the provided format. These values are illustrative, representing the structure of the `qygvtirh`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1.400</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0.400</w:t>
            </w: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12.025</w:t>
            </w:r>
          </w:p>
        </w:tc>
      </w:tr>
    </w:tbl>
    <w:p>
      <w:pPr>
        <w:pStyle w:val="BodyText"/>
      </w:pPr>
      <w:r>
        <w:t xml:space="preserve">The total mass of the product (for transport calculations) is estimated at approximately 1.4 kg based on the sum of material quantities.</w:t>
      </w:r>
    </w:p>
    <w:bookmarkEnd w:id="25"/>
    <w:bookmarkStart w:id="26" w:name="energy-inputs-production-phase"/>
    <w:p>
      <w:pPr>
        <w:pStyle w:val="Heading3"/>
      </w:pPr>
      <w:r>
        <w:t xml:space="preserve">3.2. Energy Inputs (Production Phase)</w:t>
      </w:r>
    </w:p>
    <w:p>
      <w:pPr>
        <w:numPr>
          <w:ilvl w:val="0"/>
          <w:numId w:val="1008"/>
        </w:numPr>
        <w:pStyle w:val="Compact"/>
      </w:pPr>
      <w:r>
        <w:rPr>
          <w:bCs/>
          <w:b/>
        </w:rPr>
        <w:t xml:space="preserve">Energy Intensity:</w:t>
      </w:r>
      <w:r>
        <w:t xml:space="preserve"> </w:t>
      </w:r>
      <w:r>
        <w:t xml:space="preserve">`qsnxymzeyp` (20 kWh/unit)</w:t>
      </w:r>
    </w:p>
    <w:p>
      <w:pPr>
        <w:numPr>
          <w:ilvl w:val="0"/>
          <w:numId w:val="1008"/>
        </w:numPr>
        <w:pStyle w:val="Compact"/>
      </w:pPr>
      <w:r>
        <w:rPr>
          <w:bCs/>
          <w:b/>
        </w:rPr>
        <w:t xml:space="preserve">Renewable Energy Usage:</w:t>
      </w:r>
      <w:r>
        <w:t xml:space="preserve"> </w:t>
      </w:r>
      <w:r>
        <w:t xml:space="preserve">`qnxvqeqmmx` (70%)</w:t>
      </w:r>
    </w:p>
    <w:p>
      <w:pPr>
        <w:numPr>
          <w:ilvl w:val="0"/>
          <w:numId w:val="1008"/>
        </w:numPr>
        <w:pStyle w:val="Compact"/>
      </w:pPr>
      <w:r>
        <w:rPr>
          <w:bCs/>
          <w:b/>
        </w:rPr>
        <w:t xml:space="preserve">Non-renewable Electricity Share:</w:t>
      </w:r>
      <w:r>
        <w:t xml:space="preserve"> </w:t>
      </w:r>
      <w:r>
        <w:t xml:space="preserve">20 kWh * (1 - 0.70) = 6 kWh</w:t>
      </w:r>
    </w:p>
    <w:p>
      <w:pPr>
        <w:numPr>
          <w:ilvl w:val="0"/>
          <w:numId w:val="1008"/>
        </w:numPr>
        <w:pStyle w:val="Compact"/>
      </w:pPr>
      <w:r>
        <w:rPr>
          <w:bCs/>
          <w:b/>
        </w:rPr>
        <w:t xml:space="preserve">Renewable Electricity Share:</w:t>
      </w:r>
      <w:r>
        <w:t xml:space="preserve"> </w:t>
      </w:r>
      <w:r>
        <w:t xml:space="preserve">20 kWh * 0.70 = 14 kWh</w:t>
      </w:r>
    </w:p>
    <w:p>
      <w:pPr>
        <w:numPr>
          <w:ilvl w:val="0"/>
          <w:numId w:val="1008"/>
        </w:numPr>
        <w:pStyle w:val="Compact"/>
      </w:pPr>
      <w:r>
        <w:rPr>
          <w:bCs/>
          <w:b/>
        </w:rPr>
        <w:t xml:space="preserve">Assumed China Grid Electricity Emission Factor:</w:t>
      </w:r>
      <w:r>
        <w:t xml:space="preserve"> </w:t>
      </w:r>
      <w:r>
        <w:t xml:space="preserve">0.6 kgCO2e/kWh</w:t>
      </w:r>
    </w:p>
    <w:p>
      <w:pPr>
        <w:numPr>
          <w:ilvl w:val="0"/>
          <w:numId w:val="1008"/>
        </w:numPr>
        <w:pStyle w:val="Compact"/>
      </w:pPr>
      <w:r>
        <w:rPr>
          <w:bCs/>
          <w:b/>
        </w:rPr>
        <w:t xml:space="preserve">Assumed Renewable Electricity Emission Factor:</w:t>
      </w:r>
      <w:r>
        <w:t xml:space="preserve"> </w:t>
      </w:r>
      <w:r>
        <w:t xml:space="preserve">0.01 kgCO2e/kWh (reflecting lifecycle emissions of renewable infrastructure)</w:t>
      </w:r>
    </w:p>
    <w:bookmarkEnd w:id="26"/>
    <w:bookmarkStart w:id="27" w:name="logistics-data"/>
    <w:p>
      <w:pPr>
        <w:pStyle w:val="Heading3"/>
      </w:pPr>
      <w:r>
        <w:t xml:space="preserve">3.3. Logistics Data</w:t>
      </w:r>
    </w:p>
    <w:p>
      <w:pPr>
        <w:numPr>
          <w:ilvl w:val="0"/>
          <w:numId w:val="1009"/>
        </w:numPr>
        <w:pStyle w:val="Compact"/>
      </w:pPr>
      <w:r>
        <w:rPr>
          <w:bCs/>
          <w:b/>
        </w:rPr>
        <w:t xml:space="preserve">Transport Mode (Inbound/Outbound):</w:t>
      </w:r>
      <w:r>
        <w:t xml:space="preserve"> </w:t>
      </w:r>
      <w:r>
        <w:t xml:space="preserve">Road freight, HGV, &gt;20 tonnes.</w:t>
      </w:r>
    </w:p>
    <w:p>
      <w:pPr>
        <w:numPr>
          <w:ilvl w:val="0"/>
          <w:numId w:val="1009"/>
        </w:numPr>
        <w:pStyle w:val="Compact"/>
      </w:pPr>
      <w:r>
        <w:rPr>
          <w:bCs/>
          <w:b/>
        </w:rPr>
        <w:t xml:space="preserve">Transport Mode (Last-Mile):</w:t>
      </w:r>
      <w:r>
        <w:t xml:space="preserve"> </w:t>
      </w:r>
      <w:r>
        <w:t xml:space="preserve">Road freight, Van, &lt;3.5 tonnes.</w:t>
      </w:r>
    </w:p>
    <w:p>
      <w:pPr>
        <w:numPr>
          <w:ilvl w:val="0"/>
          <w:numId w:val="1009"/>
        </w:numPr>
        <w:pStyle w:val="Compact"/>
      </w:pPr>
      <w:r>
        <w:rPr>
          <w:bCs/>
          <w:b/>
        </w:rPr>
        <w:t xml:space="preserve">Transport Distance (Inbound Raw Materials to China Factory):</w:t>
      </w:r>
      <w:r>
        <w:t xml:space="preserve"> </w:t>
      </w:r>
      <w:r>
        <w:t xml:space="preserve">Assumed 1500 km.</w:t>
      </w:r>
    </w:p>
    <w:p>
      <w:pPr>
        <w:numPr>
          <w:ilvl w:val="0"/>
          <w:numId w:val="1009"/>
        </w:numPr>
        <w:pStyle w:val="Compact"/>
      </w:pPr>
      <w:r>
        <w:rPr>
          <w:bCs/>
          <w:b/>
        </w:rPr>
        <w:t xml:space="preserve">Transport Distance (Outbound China Factory to European DC):</w:t>
      </w:r>
      <w:r>
        <w:t xml:space="preserve"> </w:t>
      </w:r>
      <w:r>
        <w:t xml:space="preserve">Assumed 1500 km.</w:t>
      </w:r>
    </w:p>
    <w:p>
      <w:pPr>
        <w:numPr>
          <w:ilvl w:val="0"/>
          <w:numId w:val="1009"/>
        </w:numPr>
        <w:pStyle w:val="Compact"/>
      </w:pPr>
      <w:r>
        <w:rPr>
          <w:bCs/>
          <w:b/>
        </w:rPr>
        <w:t xml:space="preserve">Transport Distance (Last-Mile Delivery):</w:t>
      </w:r>
      <w:r>
        <w:t xml:space="preserve"> </w:t>
      </w:r>
      <w:r>
        <w:t xml:space="preserve">Assumed 50 km.</w:t>
      </w:r>
    </w:p>
    <w:p>
      <w:pPr>
        <w:numPr>
          <w:ilvl w:val="0"/>
          <w:numId w:val="1009"/>
        </w:numPr>
        <w:pStyle w:val="Compact"/>
      </w:pPr>
      <w:r>
        <w:rPr>
          <w:bCs/>
          <w:b/>
        </w:rPr>
        <w:t xml:space="preserve">Assumed Road Freight HGV (&gt;20t) Emission Factor:</w:t>
      </w:r>
      <w:r>
        <w:t xml:space="preserve"> </w:t>
      </w:r>
      <w:r>
        <w:t xml:space="preserve">0.08 kgCO2e/tkm</w:t>
      </w:r>
    </w:p>
    <w:p>
      <w:pPr>
        <w:numPr>
          <w:ilvl w:val="0"/>
          <w:numId w:val="1009"/>
        </w:numPr>
        <w:pStyle w:val="Compact"/>
      </w:pPr>
      <w:r>
        <w:rPr>
          <w:bCs/>
          <w:b/>
        </w:rPr>
        <w:t xml:space="preserve">Assumed Road Freight Van (&lt;3.5t) Emission Factor:</w:t>
      </w:r>
      <w:r>
        <w:t xml:space="preserve"> </w:t>
      </w:r>
      <w:r>
        <w:t xml:space="preserve">0.35 kgCO2e/tkm (derived from general road freight data, adjusted for smaller capacity)</w:t>
      </w:r>
    </w:p>
    <w:bookmarkEnd w:id="27"/>
    <w:bookmarkStart w:id="28"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`zjnqesjrxu` (assumed 5 years).</w:t>
      </w:r>
    </w:p>
    <w:p>
      <w:pPr>
        <w:numPr>
          <w:ilvl w:val="0"/>
          <w:numId w:val="1010"/>
        </w:numPr>
        <w:pStyle w:val="Compact"/>
      </w:pPr>
      <w:r>
        <w:rPr>
          <w:bCs/>
          <w:b/>
        </w:rPr>
        <w:t xml:space="preserve">Energy Consumption in Use:</w:t>
      </w:r>
      <w:r>
        <w:t xml:space="preserve"> </w:t>
      </w:r>
      <w:r>
        <w:t xml:space="preserve">`dpijqohefn` (assumed 100 kWh/year).</w:t>
      </w:r>
    </w:p>
    <w:p>
      <w:pPr>
        <w:numPr>
          <w:ilvl w:val="0"/>
          <w:numId w:val="1010"/>
        </w:numPr>
        <w:pStyle w:val="Compact"/>
      </w:pPr>
      <w:r>
        <w:rPr>
          <w:bCs/>
          <w:b/>
        </w:rPr>
        <w:t xml:space="preserve">Assumed European Grid Electricity Emission Factor (for use phase):</w:t>
      </w:r>
      <w:r>
        <w:t xml:space="preserve"> </w:t>
      </w:r>
      <w:r>
        <w:t xml:space="preserve">0.25 kgCO2e/kWh (average for Europe, accounting for decarbonization trends)</w:t>
      </w:r>
    </w:p>
    <w:bookmarkEnd w:id="28"/>
    <w:bookmarkStart w:id="29"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`phievhtfeh` (assumed 80%).</w:t>
      </w:r>
    </w:p>
    <w:p>
      <w:pPr>
        <w:numPr>
          <w:ilvl w:val="0"/>
          <w:numId w:val="1011"/>
        </w:numPr>
        <w:pStyle w:val="Compact"/>
      </w:pPr>
      <w:r>
        <w:rPr>
          <w:bCs/>
          <w:b/>
        </w:rPr>
        <w:t xml:space="preserve">Circular/Take-back Programs:</w:t>
      </w:r>
      <w:r>
        <w:t xml:space="preserve"> </w:t>
      </w:r>
      <w:r>
        <w:t xml:space="preserve">`xtpxjlnnjg` (Assumed established take-back program for key components, ensuring material recovery).</w:t>
      </w:r>
    </w:p>
    <w:p>
      <w:pPr>
        <w:numPr>
          <w:ilvl w:val="0"/>
          <w:numId w:val="1011"/>
        </w:numPr>
        <w:pStyle w:val="Compact"/>
      </w:pPr>
      <w:r>
        <w:rPr>
          <w:bCs/>
          <w:b/>
        </w:rPr>
        <w:t xml:space="preserve">Assumed Landfill Emission Factor (Mixed Waste):</w:t>
      </w:r>
      <w:r>
        <w:t xml:space="preserve"> </w:t>
      </w:r>
      <w:r>
        <w:t xml:space="preserve">0.5 kgCO2e/kg</w:t>
      </w:r>
    </w:p>
    <w:p>
      <w:pPr>
        <w:numPr>
          <w:ilvl w:val="0"/>
          <w:numId w:val="1011"/>
        </w:numPr>
        <w:pStyle w:val="Compact"/>
      </w:pPr>
      <w:r>
        <w:rPr>
          <w:bCs/>
          <w:b/>
        </w:rPr>
        <w:t xml:space="preserve">Assumed Avoided Emissions (Recycled Aluminum):</w:t>
      </w:r>
      <w:r>
        <w:t xml:space="preserve"> </w:t>
      </w:r>
      <w:r>
        <w:t xml:space="preserve">-10 kgCO2e/kg (reflecting ~90% reduction compared to primary production)</w:t>
      </w:r>
    </w:p>
    <w:p>
      <w:pPr>
        <w:numPr>
          <w:ilvl w:val="0"/>
          <w:numId w:val="1011"/>
        </w:numPr>
        <w:pStyle w:val="Compact"/>
      </w:pPr>
      <w:r>
        <w:rPr>
          <w:bCs/>
          <w:b/>
        </w:rPr>
        <w:t xml:space="preserve">Assumed Avoided Emissions (Recycled Plastic):</w:t>
      </w:r>
      <w:r>
        <w:t xml:space="preserve"> </w:t>
      </w:r>
      <w:r>
        <w:t xml:space="preserve">-2.5 kgCO2e/kg (reflecting energy savings and virgin material displacement)</w:t>
      </w:r>
    </w:p>
    <w:p>
      <w:r>
        <w:pict>
          <v:rect style="width:0;height:1.5pt" o:hralign="center" o:hrstd="t" o:hr="t"/>
        </w:pict>
      </w:r>
    </w:p>
    <w:bookmarkEnd w:id="29"/>
    <w:bookmarkEnd w:id="30"/>
    <w:bookmarkStart w:id="43" w:name="Xdd1c2ba429305467bad58a0828410d9d0fce25c"/>
    <w:p>
      <w:pPr>
        <w:pStyle w:val="Heading2"/>
      </w:pPr>
      <w:r>
        <w:t xml:space="preserve">4. Emissions Calculation (Activity × Emission Factor = CO2e)</w:t>
      </w:r>
    </w:p>
    <w:bookmarkStart w:id="35" w:name="core-pcf-factory-gate-boundary"/>
    <w:p>
      <w:pPr>
        <w:pStyle w:val="Heading3"/>
      </w:pPr>
      <w:r>
        <w:t xml:space="preserve">4.1. Core PCF (Factory Gate Boundary)</w:t>
      </w:r>
    </w:p>
    <w:p>
      <w:pPr>
        <w:pStyle w:val="FirstParagraph"/>
      </w:pPr>
      <w:r>
        <w:t xml:space="preserve">This section details the emissions up to the point where `hdkqvmvukn` leaves the manufacturing facility in China.</w:t>
      </w:r>
    </w:p>
    <w:bookmarkStart w:id="31" w:name="Xac2d7a6e11d22f2c178b5ab655af6694b71fe6f"/>
    <w:p>
      <w:pPr>
        <w:pStyle w:val="Heading4"/>
      </w:pPr>
      <w:r>
        <w:t xml:space="preserve">Materials Acquisition &amp; Processing (Scope 3, Category 1 - Purchased Goods and Services)</w:t>
      </w:r>
    </w:p>
    <w:p>
      <w:pPr>
        <w:pStyle w:val="FirstParagraph"/>
      </w:pPr>
      <w:r>
        <w:t xml:space="preserve">Based on the detailed BOM data, the aggregated emissions from raw material production are:</w:t>
      </w:r>
    </w:p>
    <w:p>
      <w:pPr>
        <w:numPr>
          <w:ilvl w:val="0"/>
          <w:numId w:val="1012"/>
        </w:numPr>
        <w:pStyle w:val="Compact"/>
      </w:pPr>
      <w:r>
        <w:rPr>
          <w:bCs/>
          <w:b/>
        </w:rPr>
        <w:t xml:space="preserve">Total Material Emissions:</w:t>
      </w:r>
      <w:r>
        <w:t xml:space="preserve"> </w:t>
      </w:r>
      <w:r>
        <w:t xml:space="preserve">12.025 kgCO2e</w:t>
      </w:r>
    </w:p>
    <w:bookmarkEnd w:id="31"/>
    <w:bookmarkStart w:id="32" w:name="Xcdabec018427bd924257bb803edc2f9a843ff74"/>
    <w:p>
      <w:pPr>
        <w:pStyle w:val="Heading4"/>
      </w:pPr>
      <w:r>
        <w:t xml:space="preserve">Manufacturing Energy (Scope 2 - Purchased Electricity)</w:t>
      </w:r>
    </w:p>
    <w:p>
      <w:pPr>
        <w:numPr>
          <w:ilvl w:val="0"/>
          <w:numId w:val="1013"/>
        </w:numPr>
        <w:pStyle w:val="Compact"/>
      </w:pPr>
      <w:r>
        <w:rPr>
          <w:bCs/>
          <w:b/>
        </w:rPr>
        <w:t xml:space="preserve">Emissions from Non-renewable Electricity:</w:t>
      </w:r>
      <w:r>
        <w:t xml:space="preserve"> </w:t>
      </w:r>
      <w:r>
        <w:t xml:space="preserve">6 kWh * 0.6 kgCO2e/kWh = 3.60 kgCO2e</w:t>
      </w:r>
    </w:p>
    <w:p>
      <w:pPr>
        <w:numPr>
          <w:ilvl w:val="0"/>
          <w:numId w:val="1013"/>
        </w:numPr>
        <w:pStyle w:val="Compact"/>
      </w:pPr>
      <w:r>
        <w:rPr>
          <w:bCs/>
          <w:b/>
        </w:rPr>
        <w:t xml:space="preserve">Emissions from Renewable Electricity:</w:t>
      </w:r>
      <w:r>
        <w:t xml:space="preserve"> </w:t>
      </w:r>
      <w:r>
        <w:t xml:space="preserve">14 kWh * 0.01 kgCO2e/kWh = 0.14 kgCO2e</w:t>
      </w:r>
    </w:p>
    <w:p>
      <w:pPr>
        <w:numPr>
          <w:ilvl w:val="0"/>
          <w:numId w:val="1013"/>
        </w:numPr>
        <w:pStyle w:val="Compact"/>
      </w:pPr>
      <w:r>
        <w:rPr>
          <w:bCs/>
          <w:b/>
        </w:rPr>
        <w:t xml:space="preserve">Total Manufacturing Energy Emissions:</w:t>
      </w:r>
      <w:r>
        <w:t xml:space="preserve"> </w:t>
      </w:r>
      <w:r>
        <w:t xml:space="preserve">3.60 + 0.14 = 3.74 kgCO2e</w:t>
      </w:r>
    </w:p>
    <w:bookmarkEnd w:id="32"/>
    <w:bookmarkStart w:id="33" w:name="X389f2eced29693edfd1be74cf5223b1e11a3c8d"/>
    <w:p>
      <w:pPr>
        <w:pStyle w:val="Heading4"/>
      </w:pPr>
      <w:r>
        <w:t xml:space="preserve">Inbound Transportation (Scope 3, Category 4 - Upstream Transportation and Distribution)</w:t>
      </w:r>
    </w:p>
    <w:p>
      <w:pPr>
        <w:numPr>
          <w:ilvl w:val="0"/>
          <w:numId w:val="1014"/>
        </w:numPr>
        <w:pStyle w:val="Compact"/>
      </w:pPr>
      <w:r>
        <w:rPr>
          <w:bCs/>
          <w:b/>
        </w:rPr>
        <w:t xml:space="preserve">Total Inbound Material Mass:</w:t>
      </w:r>
      <w:r>
        <w:t xml:space="preserve"> </w:t>
      </w:r>
      <w:r>
        <w:t xml:space="preserve">1.4 kg (product mass) + 0.5 kg (packaging/waste buffer) = 1.9 kg</w:t>
      </w:r>
    </w:p>
    <w:p>
      <w:pPr>
        <w:numPr>
          <w:ilvl w:val="0"/>
          <w:numId w:val="1014"/>
        </w:numPr>
        <w:pStyle w:val="Compact"/>
      </w:pPr>
      <w:r>
        <w:rPr>
          <w:bCs/>
          <w:b/>
        </w:rPr>
        <w:t xml:space="preserve">Total tkm (Inbound):</w:t>
      </w:r>
      <w:r>
        <w:t xml:space="preserve"> </w:t>
      </w:r>
      <w:r>
        <w:t xml:space="preserve">(1.9 kg / 1000) * 1500 km = 2.85 tkm</w:t>
      </w:r>
    </w:p>
    <w:p>
      <w:pPr>
        <w:numPr>
          <w:ilvl w:val="0"/>
          <w:numId w:val="1014"/>
        </w:numPr>
        <w:pStyle w:val="Compact"/>
      </w:pPr>
      <w:r>
        <w:rPr>
          <w:bCs/>
          <w:b/>
        </w:rPr>
        <w:t xml:space="preserve">Emissions (Inbound):</w:t>
      </w:r>
      <w:r>
        <w:t xml:space="preserve"> </w:t>
      </w:r>
      <w:r>
        <w:t xml:space="preserve">2.85 tkm * 0.08 kgCO2e/tkm = 0.228 kgCO2e</w:t>
      </w:r>
    </w:p>
    <w:bookmarkEnd w:id="33"/>
    <w:bookmarkStart w:id="34" w:name="total-core-pcf-factory-gate"/>
    <w:p>
      <w:pPr>
        <w:pStyle w:val="Heading4"/>
      </w:pPr>
      <w:r>
        <w:t xml:space="preserve">Total Core PCF (Factory Gate):</w:t>
      </w:r>
    </w:p>
    <w:p>
      <w:pPr>
        <w:pStyle w:val="FirstParagraph"/>
      </w:pPr>
      <w:r>
        <w:rPr>
          <w:bCs/>
          <w:b/>
        </w:rPr>
        <w:t xml:space="preserve">12.025 kgCO2e (Materials) + 3.74 kgCO2e (Manufacturing Energy) + 0.228 kgCO2e (Inbound Transport) = 15.993 kgCO2e</w:t>
      </w:r>
    </w:p>
    <w:bookmarkEnd w:id="34"/>
    <w:bookmarkEnd w:id="35"/>
    <w:bookmarkStart w:id="40" w:name="Xb3b57dccaacdab6359ab3203a0edc747a84d48a"/>
    <w:p>
      <w:pPr>
        <w:pStyle w:val="Heading3"/>
      </w:pPr>
      <w:r>
        <w:t xml:space="preserve">4.2. Extended Lifecycle Impacts (Downstream Emissions)</w:t>
      </w:r>
    </w:p>
    <w:p>
      <w:pPr>
        <w:pStyle w:val="FirstParagraph"/>
      </w:pPr>
      <w:r>
        <w:t xml:space="preserve">This section covers emissions occurring after the product leaves the factory gate, providing a comprehensive cradle-to-grave perspective.</w:t>
      </w:r>
    </w:p>
    <w:bookmarkStart w:id="36" w:name="Xeb7fabd17cbcedba2e961a97a28b9a5280a46cd"/>
    <w:p>
      <w:pPr>
        <w:pStyle w:val="Heading4"/>
      </w:pPr>
      <w:r>
        <w:t xml:space="preserve">Outbound Transportation (Scope 3, Category 4 - Upstream Transportation and Distribution)</w:t>
      </w:r>
    </w:p>
    <w:p>
      <w:pPr>
        <w:pStyle w:val="FirstParagraph"/>
      </w:pPr>
      <w:r>
        <w:t xml:space="preserve">From China Factory to European Distribution Center:</w:t>
      </w:r>
    </w:p>
    <w:p>
      <w:pPr>
        <w:numPr>
          <w:ilvl w:val="0"/>
          <w:numId w:val="1015"/>
        </w:numPr>
        <w:pStyle w:val="Compact"/>
      </w:pPr>
      <w:r>
        <w:rPr>
          <w:bCs/>
          <w:b/>
        </w:rPr>
        <w:t xml:space="preserve">Product Mass:</w:t>
      </w:r>
      <w:r>
        <w:t xml:space="preserve"> </w:t>
      </w:r>
      <w:r>
        <w:t xml:space="preserve">1.4 kg</w:t>
      </w:r>
    </w:p>
    <w:p>
      <w:pPr>
        <w:numPr>
          <w:ilvl w:val="0"/>
          <w:numId w:val="1015"/>
        </w:numPr>
        <w:pStyle w:val="Compact"/>
      </w:pPr>
      <w:r>
        <w:rPr>
          <w:bCs/>
          <w:b/>
        </w:rPr>
        <w:t xml:space="preserve">Total tkm (Outbound to DC):</w:t>
      </w:r>
      <w:r>
        <w:t xml:space="preserve"> </w:t>
      </w:r>
      <w:r>
        <w:t xml:space="preserve">(1.4 kg / 1000) * 1500 km = 2.1 tkm</w:t>
      </w:r>
    </w:p>
    <w:p>
      <w:pPr>
        <w:numPr>
          <w:ilvl w:val="0"/>
          <w:numId w:val="1015"/>
        </w:numPr>
        <w:pStyle w:val="Compact"/>
      </w:pPr>
      <w:r>
        <w:rPr>
          <w:bCs/>
          <w:b/>
        </w:rPr>
        <w:t xml:space="preserve">Emissions (Outbound to DC):</w:t>
      </w:r>
      <w:r>
        <w:t xml:space="preserve"> </w:t>
      </w:r>
      <w:r>
        <w:t xml:space="preserve">2.1 tkm * 0.08 kgCO2e/tkm = 0.168 kgCO2e</w:t>
      </w:r>
    </w:p>
    <w:bookmarkEnd w:id="36"/>
    <w:bookmarkStart w:id="37" w:name="X04f2478164a35a14a107bdbb3dd5dc5d89afb38"/>
    <w:p>
      <w:pPr>
        <w:pStyle w:val="Heading4"/>
      </w:pPr>
      <w:r>
        <w:t xml:space="preserve">Last-Mile Delivery (Scope 3, Category 9 - Downstream Transportation and Distribution)</w:t>
      </w:r>
    </w:p>
    <w:p>
      <w:pPr>
        <w:pStyle w:val="FirstParagraph"/>
      </w:pPr>
      <w:r>
        <w:t xml:space="preserve">From European Distribution Center to End-Customer:</w:t>
      </w:r>
    </w:p>
    <w:p>
      <w:pPr>
        <w:numPr>
          <w:ilvl w:val="0"/>
          <w:numId w:val="1016"/>
        </w:numPr>
        <w:pStyle w:val="Compact"/>
      </w:pPr>
      <w:r>
        <w:rPr>
          <w:bCs/>
          <w:b/>
        </w:rPr>
        <w:t xml:space="preserve">Product Mass:</w:t>
      </w:r>
      <w:r>
        <w:t xml:space="preserve"> </w:t>
      </w:r>
      <w:r>
        <w:t xml:space="preserve">1.4 kg</w:t>
      </w:r>
    </w:p>
    <w:p>
      <w:pPr>
        <w:numPr>
          <w:ilvl w:val="0"/>
          <w:numId w:val="1016"/>
        </w:numPr>
        <w:pStyle w:val="Compact"/>
      </w:pPr>
      <w:r>
        <w:rPr>
          <w:bCs/>
          <w:b/>
        </w:rPr>
        <w:t xml:space="preserve">Total tkm (Last-Mile):</w:t>
      </w:r>
      <w:r>
        <w:t xml:space="preserve"> </w:t>
      </w:r>
      <w:r>
        <w:t xml:space="preserve">(1.4 kg / 1000) * 50 km = 0.07 tkm</w:t>
      </w:r>
    </w:p>
    <w:p>
      <w:pPr>
        <w:numPr>
          <w:ilvl w:val="0"/>
          <w:numId w:val="1016"/>
        </w:numPr>
        <w:pStyle w:val="Compact"/>
      </w:pPr>
      <w:r>
        <w:rPr>
          <w:bCs/>
          <w:b/>
        </w:rPr>
        <w:t xml:space="preserve">Emissions (Last-Mile):</w:t>
      </w:r>
      <w:r>
        <w:t xml:space="preserve"> </w:t>
      </w:r>
      <w:r>
        <w:t xml:space="preserve">0.07 tkm * 0.35 kgCO2e/tkm = 0.0245 kgCO2e</w:t>
      </w:r>
    </w:p>
    <w:p>
      <w:pPr>
        <w:pStyle w:val="FirstParagraph"/>
      </w:pPr>
      <w:r>
        <w:rPr>
          <w:bCs/>
          <w:b/>
        </w:rPr>
        <w:t xml:space="preserve">Total Downstream Transport Emissions:</w:t>
      </w:r>
      <w:r>
        <w:t xml:space="preserve"> </w:t>
      </w:r>
      <w:r>
        <w:t xml:space="preserve">0.168 kgCO2e + 0.0245 kgCO2e = 0.1925 kgCO2e</w:t>
      </w:r>
    </w:p>
    <w:bookmarkEnd w:id="37"/>
    <w:bookmarkStart w:id="38" w:name="Xe72837a908ad344b018b3447ff671a3dec19470"/>
    <w:p>
      <w:pPr>
        <w:pStyle w:val="Heading4"/>
      </w:pPr>
      <w:r>
        <w:t xml:space="preserve">Use Phase (Scope 3, Category 11 - Use of Sold Products)</w:t>
      </w:r>
    </w:p>
    <w:p>
      <w:pPr>
        <w:numPr>
          <w:ilvl w:val="0"/>
          <w:numId w:val="1017"/>
        </w:numPr>
        <w:pStyle w:val="Compact"/>
      </w:pPr>
      <w:r>
        <w:rPr>
          <w:bCs/>
          <w:b/>
        </w:rPr>
        <w:t xml:space="preserve">Total Energy Consumption in Use:</w:t>
      </w:r>
      <w:r>
        <w:t xml:space="preserve"> </w:t>
      </w:r>
      <w:r>
        <w:t xml:space="preserve">100 kWh/year * 5 years = 500 kWh</w:t>
      </w:r>
    </w:p>
    <w:p>
      <w:pPr>
        <w:numPr>
          <w:ilvl w:val="0"/>
          <w:numId w:val="1017"/>
        </w:numPr>
        <w:pStyle w:val="Compact"/>
      </w:pPr>
      <w:r>
        <w:rPr>
          <w:bCs/>
          <w:b/>
        </w:rPr>
        <w:t xml:space="preserve">Emissions (Use Phase):</w:t>
      </w:r>
      <w:r>
        <w:t xml:space="preserve"> </w:t>
      </w:r>
      <w:r>
        <w:t xml:space="preserve">500 kWh * 0.25 kgCO2e/kWh = 125.00 kgCO2e</w:t>
      </w:r>
    </w:p>
    <w:bookmarkEnd w:id="38"/>
    <w:bookmarkStart w:id="39" w:name="Xfee19c72b3111fddaf9d3fe76723f104166f831"/>
    <w:p>
      <w:pPr>
        <w:pStyle w:val="Heading4"/>
      </w:pPr>
      <w:r>
        <w:t xml:space="preserve">End-of-Life Treatment (Scope 3, Category 12 - End-of-Life Treatment of Sold Products)</w:t>
      </w:r>
    </w:p>
    <w:p>
      <w:pPr>
        <w:pStyle w:val="FirstParagraph"/>
      </w:pPr>
      <w:r>
        <w:t xml:space="preserve">Based on 80% recyclability and established take-back programs, assuming a 50/50 split of metal/plastic in the product for EoL calculations:</w:t>
      </w:r>
    </w:p>
    <w:p>
      <w:pPr>
        <w:numPr>
          <w:ilvl w:val="0"/>
          <w:numId w:val="1018"/>
        </w:numPr>
        <w:pStyle w:val="Compact"/>
      </w:pPr>
      <w:r>
        <w:rPr>
          <w:bCs/>
          <w:b/>
        </w:rPr>
        <w:t xml:space="preserve">Product Mass at EoL:</w:t>
      </w:r>
      <w:r>
        <w:t xml:space="preserve"> </w:t>
      </w:r>
      <w:r>
        <w:t xml:space="preserve">1.4 kg</w:t>
      </w:r>
    </w:p>
    <w:p>
      <w:pPr>
        <w:numPr>
          <w:ilvl w:val="0"/>
          <w:numId w:val="1018"/>
        </w:numPr>
        <w:pStyle w:val="Compact"/>
      </w:pPr>
      <w:r>
        <w:rPr>
          <w:bCs/>
          <w:b/>
        </w:rPr>
        <w:t xml:space="preserve">Recycled Portion (80%):</w:t>
      </w:r>
      <w:r>
        <w:t xml:space="preserve"> </w:t>
      </w:r>
      <w:r>
        <w:t xml:space="preserve">1.12 kg</w:t>
      </w:r>
    </w:p>
    <w:p>
      <w:pPr>
        <w:numPr>
          <w:ilvl w:val="0"/>
          <w:numId w:val="1018"/>
        </w:numPr>
        <w:pStyle w:val="Compact"/>
      </w:pPr>
      <w:r>
        <w:rPr>
          <w:bCs/>
          <w:b/>
        </w:rPr>
        <w:t xml:space="preserve">Non-recycled Portion (20% - Landfilled):</w:t>
      </w:r>
      <w:r>
        <w:t xml:space="preserve"> </w:t>
      </w:r>
      <w:r>
        <w:t xml:space="preserve">0.28 kg</w:t>
      </w:r>
    </w:p>
    <w:p>
      <w:pPr>
        <w:pStyle w:val="FirstParagraph"/>
      </w:pPr>
      <w:r>
        <w:rPr>
          <w:bCs/>
          <w:b/>
        </w:rPr>
        <w:t xml:space="preserve">Recycling Credits:</w:t>
      </w:r>
    </w:p>
    <w:p>
      <w:pPr>
        <w:numPr>
          <w:ilvl w:val="0"/>
          <w:numId w:val="1019"/>
        </w:numPr>
        <w:pStyle w:val="Compact"/>
      </w:pPr>
      <w:r>
        <w:rPr>
          <w:bCs/>
          <w:b/>
        </w:rPr>
        <w:t xml:space="preserve">Recycled Metal (0.56 kg):</w:t>
      </w:r>
      <w:r>
        <w:t xml:space="preserve"> </w:t>
      </w:r>
      <w:r>
        <w:t xml:space="preserve">0.56 kg * (-10 kgCO2e/kg) = -5.60 kgCO2e</w:t>
      </w:r>
    </w:p>
    <w:p>
      <w:pPr>
        <w:numPr>
          <w:ilvl w:val="0"/>
          <w:numId w:val="1019"/>
        </w:numPr>
        <w:pStyle w:val="Compact"/>
      </w:pPr>
      <w:r>
        <w:rPr>
          <w:bCs/>
          <w:b/>
        </w:rPr>
        <w:t xml:space="preserve">Recycled Plastic (0.56 kg):</w:t>
      </w:r>
      <w:r>
        <w:t xml:space="preserve"> </w:t>
      </w:r>
      <w:r>
        <w:t xml:space="preserve">0.56 kg * (-2.5 kgCO2e/kg) = -1.40 kgCO2e</w:t>
      </w:r>
    </w:p>
    <w:p>
      <w:pPr>
        <w:numPr>
          <w:ilvl w:val="0"/>
          <w:numId w:val="1019"/>
        </w:numPr>
        <w:pStyle w:val="Compact"/>
      </w:pPr>
      <w:r>
        <w:rPr>
          <w:bCs/>
          <w:b/>
        </w:rPr>
        <w:t xml:space="preserve">Total Recycling Credits:</w:t>
      </w:r>
      <w:r>
        <w:t xml:space="preserve"> </w:t>
      </w:r>
      <w:r>
        <w:t xml:space="preserve">-5.60 + -1.40 = -7.00 kgCO2e</w:t>
      </w:r>
    </w:p>
    <w:p>
      <w:pPr>
        <w:pStyle w:val="FirstParagraph"/>
      </w:pPr>
      <w:r>
        <w:rPr>
          <w:bCs/>
          <w:b/>
        </w:rPr>
        <w:t xml:space="preserve">Landfill Emissions:</w:t>
      </w:r>
    </w:p>
    <w:p>
      <w:pPr>
        <w:numPr>
          <w:ilvl w:val="0"/>
          <w:numId w:val="1020"/>
        </w:numPr>
        <w:pStyle w:val="Compact"/>
      </w:pPr>
      <w:r>
        <w:rPr>
          <w:bCs/>
          <w:b/>
        </w:rPr>
        <w:t xml:space="preserve">Non-recycled Portion Emissions:</w:t>
      </w:r>
      <w:r>
        <w:t xml:space="preserve"> </w:t>
      </w:r>
      <w:r>
        <w:t xml:space="preserve">0.28 kg * 0.5 kgCO2e/kg = 0.14 kgCO2e</w:t>
      </w:r>
    </w:p>
    <w:p>
      <w:pPr>
        <w:pStyle w:val="FirstParagraph"/>
      </w:pPr>
      <w:r>
        <w:rPr>
          <w:bCs/>
          <w:b/>
        </w:rPr>
        <w:t xml:space="preserve">Total End-of-Life Emissions (Net):</w:t>
      </w:r>
      <w:r>
        <w:t xml:space="preserve"> </w:t>
      </w:r>
      <w:r>
        <w:t xml:space="preserve">0.14 kgCO2e + (-7.00 kgCO2e) = -6.86 kgCO2e</w:t>
      </w:r>
    </w:p>
    <w:bookmarkEnd w:id="39"/>
    <w:bookmarkEnd w:id="40"/>
    <w:bookmarkStart w:id="41" w:name="X9b8f96e5fd6ec30b02c91cc11d45f1568d9808c"/>
    <w:p>
      <w:pPr>
        <w:pStyle w:val="Heading3"/>
      </w:pPr>
      <w:r>
        <w:t xml:space="preserve">4.3.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Category</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12.025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3.740</w:t>
            </w:r>
          </w:p>
        </w:tc>
      </w:tr>
      <w:tr>
        <w:tc>
          <w:tcPr/>
          <w:p>
            <w:pPr>
              <w:pStyle w:val="Compact"/>
              <w:jc w:val="left"/>
            </w:pPr>
            <w:r>
              <w:t xml:space="preserve">Inbound Transportation</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0.228</w:t>
            </w:r>
          </w:p>
        </w:tc>
      </w:tr>
      <w:tr>
        <w:tc>
          <w:tcPr>
            <w:gridSpan w:val="3"/>
          </w:tcPr>
          <w:p>
            <w:pPr>
              <w:pStyle w:val="Compact"/>
              <w:jc w:val="left"/>
            </w:pPr>
            <w:r>
              <w:rPr>
                <w:bCs/>
                <w:b/>
              </w:rPr>
              <w:t xml:space="preserve">Total Core PCF (Factory Gate)</w:t>
            </w:r>
          </w:p>
        </w:tc>
        <w:tc>
          <w:tcPr/>
          <w:p>
            <w:pPr>
              <w:pStyle w:val="Compact"/>
              <w:jc w:val="left"/>
            </w:pPr>
            <w:r>
              <w:rPr>
                <w:bCs/>
                <w:b/>
              </w:rPr>
              <w:t xml:space="preserve">15.993</w:t>
            </w:r>
          </w:p>
        </w:tc>
      </w:tr>
      <w:tr>
        <w:tc>
          <w:tcPr/>
          <w:p>
            <w:pPr>
              <w:pStyle w:val="Compact"/>
              <w:jc w:val="left"/>
            </w:pPr>
            <w:r>
              <w:t xml:space="preserve">Outbound Transportation (to DC)</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0.168</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0.0245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-6.860</w:t>
            </w:r>
          </w:p>
        </w:tc>
      </w:tr>
      <w:tr>
        <w:tc>
          <w:tcPr>
            <w:gridSpan w:val="3"/>
          </w:tcPr>
          <w:p>
            <w:pPr>
              <w:pStyle w:val="Compact"/>
              <w:jc w:val="left"/>
            </w:pPr>
            <w:r>
              <w:rPr>
                <w:bCs/>
                <w:b/>
              </w:rPr>
              <w:t xml:space="preserve">Total Extended Downstream Emissions</w:t>
            </w:r>
          </w:p>
        </w:tc>
        <w:tc>
          <w:tcPr/>
          <w:p>
            <w:pPr>
              <w:pStyle w:val="Compact"/>
              <w:jc w:val="left"/>
            </w:pPr>
            <w:r>
              <w:rPr>
                <w:bCs/>
                <w:b/>
              </w:rPr>
              <w:t xml:space="preserve">118.3325</w:t>
            </w:r>
          </w:p>
        </w:tc>
      </w:tr>
      <w:tr>
        <w:tc>
          <w:tcPr>
            <w:gridSpan w:val="3"/>
          </w:tcPr>
          <w:p>
            <w:pPr>
              <w:pStyle w:val="Compact"/>
              <w:jc w:val="left"/>
            </w:pPr>
            <w:r>
              <w:rPr>
                <w:bCs/>
                <w:b/>
              </w:rPr>
              <w:t xml:space="preserve">Overall Product Carbon Footprint (Total Lifecycle)</w:t>
            </w:r>
          </w:p>
        </w:tc>
        <w:tc>
          <w:tcPr/>
          <w:p>
            <w:pPr>
              <w:pStyle w:val="Compact"/>
              <w:jc w:val="left"/>
            </w:pPr>
            <w:r>
              <w:rPr>
                <w:bCs/>
                <w:b/>
              </w:rPr>
              <w:t xml:space="preserve">134.3255</w:t>
            </w:r>
          </w:p>
        </w:tc>
      </w:tr>
    </w:tbl>
    <w:bookmarkEnd w:id="41"/>
    <w:bookmarkStart w:id="42" w:name="overall-emissions-by-scope"/>
    <w:p>
      <w:pPr>
        <w:pStyle w:val="Heading3"/>
      </w:pPr>
      <w:r>
        <w:t xml:space="preserve">4.4. Overall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3.740</w:t>
            </w:r>
          </w:p>
        </w:tc>
        <w:tc>
          <w:tcPr/>
          <w:p>
            <w:pPr>
              <w:pStyle w:val="Compact"/>
              <w:jc w:val="left"/>
            </w:pPr>
            <w:r>
              <w:t xml:space="preserve">2.78%</w:t>
            </w:r>
          </w:p>
        </w:tc>
      </w:tr>
      <w:tr>
        <w:tc>
          <w:tcPr/>
          <w:p>
            <w:pPr>
              <w:pStyle w:val="Compact"/>
              <w:jc w:val="left"/>
            </w:pPr>
            <w:r>
              <w:t xml:space="preserve">Scope 3 (Value Chain Emissions)</w:t>
            </w:r>
          </w:p>
        </w:tc>
        <w:tc>
          <w:tcPr/>
          <w:p>
            <w:pPr>
              <w:pStyle w:val="Compact"/>
              <w:jc w:val="left"/>
            </w:pPr>
            <w:r>
              <w:t xml:space="preserve">130.5855</w:t>
            </w:r>
          </w:p>
        </w:tc>
        <w:tc>
          <w:tcPr/>
          <w:p>
            <w:pPr>
              <w:pStyle w:val="Compact"/>
              <w:jc w:val="left"/>
            </w:pPr>
            <w:r>
              <w:t xml:space="preserve">97.22%</w:t>
            </w:r>
          </w:p>
        </w:tc>
      </w:tr>
      <w:tr>
        <w:tc>
          <w:tcPr/>
          <w:p>
            <w:pPr>
              <w:pStyle w:val="Compact"/>
              <w:jc w:val="left"/>
            </w:pPr>
            <w:r>
              <w:rPr>
                <w:bCs/>
                <w:b/>
              </w:rPr>
              <w:t xml:space="preserve">Total PCF</w:t>
            </w:r>
          </w:p>
        </w:tc>
        <w:tc>
          <w:tcPr/>
          <w:p>
            <w:pPr>
              <w:pStyle w:val="Compact"/>
              <w:jc w:val="left"/>
            </w:pPr>
            <w:r>
              <w:rPr>
                <w:bCs/>
                <w:b/>
              </w:rPr>
              <w:t xml:space="preserve">134.3255</w:t>
            </w:r>
          </w:p>
        </w:tc>
        <w:tc>
          <w:tcPr/>
          <w:p>
            <w:pPr>
              <w:pStyle w:val="Compact"/>
              <w:jc w:val="left"/>
            </w:pPr>
            <w:r>
              <w:rPr>
                <w:bCs/>
                <w:b/>
              </w:rPr>
              <w:t xml:space="preserve">100.00%</w:t>
            </w:r>
          </w:p>
        </w:tc>
      </w:tr>
    </w:tbl>
    <w:p>
      <w:pPr>
        <w:pStyle w:val="BodyText"/>
      </w:pPr>
      <w:r>
        <w:t xml:space="preserve">Scope 3 emissions constitute the vast majority of the product\'s carbon footprint, with significant contributions from the use phase and material acquisition.</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s-hotspots-identification"/>
    <w:p>
      <w:pPr>
        <w:pStyle w:val="Heading3"/>
      </w:pPr>
      <w:r>
        <w:t xml:space="preserve">5.1. Emissions Hotspots Identification</w:t>
      </w:r>
    </w:p>
    <w:p>
      <w:pPr>
        <w:pStyle w:val="FirstParagraph"/>
      </w:pPr>
      <w:r>
        <w:t xml:space="preserve">The analysis reveals the following key emissions hotspots for `hdkqvmvukn`:</w:t>
      </w:r>
    </w:p>
    <w:p>
      <w:pPr>
        <w:numPr>
          <w:ilvl w:val="0"/>
          <w:numId w:val="1021"/>
        </w:numPr>
        <w:pStyle w:val="Compact"/>
      </w:pPr>
      <w:r>
        <w:rPr>
          <w:bCs/>
          <w:b/>
        </w:rPr>
        <w:t xml:space="preserve">Use Phase (125.00 kgCO2e):</w:t>
      </w:r>
      <w:r>
        <w:t xml:space="preserve"> </w:t>
      </w:r>
      <w:r>
        <w:t xml:space="preserve">This is by far the largest hotspot, accounting for approximately 93% of the total lifecycle emissions. The product\'s energy consumption over its 5-year lifespan, powered by the regional electricity grid, is the dominant factor.</w:t>
      </w:r>
    </w:p>
    <w:p>
      <w:pPr>
        <w:numPr>
          <w:ilvl w:val="0"/>
          <w:numId w:val="1021"/>
        </w:numPr>
        <w:pStyle w:val="Compact"/>
      </w:pPr>
      <w:r>
        <w:rPr>
          <w:bCs/>
          <w:b/>
        </w:rPr>
        <w:t xml:space="preserve">Materials Acquisition &amp; Processing (12.025 kgCO2e):</w:t>
      </w:r>
      <w:r>
        <w:t xml:space="preserve"> </w:t>
      </w:r>
      <w:r>
        <w:t xml:space="preserve">Constitutes about 9% of the total footprint, primarily driven by the production of energy-intensive materials like aluminum and electronics.</w:t>
      </w:r>
    </w:p>
    <w:p>
      <w:pPr>
        <w:numPr>
          <w:ilvl w:val="0"/>
          <w:numId w:val="1021"/>
        </w:numPr>
        <w:pStyle w:val="Compact"/>
      </w:pPr>
      <w:r>
        <w:rPr>
          <w:bCs/>
          <w:b/>
        </w:rPr>
        <w:t xml:space="preserve">Manufacturing Energy (3.74 kgCO2e):</w:t>
      </w:r>
      <w:r>
        <w:t xml:space="preserve"> </w:t>
      </w:r>
      <w:r>
        <w:t xml:space="preserve">While less dominant than the use phase, it represents a significant direct operational impact for `wywpvvsvuq` (Scope 2). The existing 70% renewable energy usage significantly mitigates this impact.</w:t>
      </w:r>
    </w:p>
    <w:p>
      <w:pPr>
        <w:numPr>
          <w:ilvl w:val="0"/>
          <w:numId w:val="1021"/>
        </w:numPr>
        <w:pStyle w:val="Compact"/>
      </w:pPr>
      <w:r>
        <w:rPr>
          <w:bCs/>
          <w:b/>
        </w:rPr>
        <w:t xml:space="preserve">End-of-Life (-6.86 kgCO2e):</w:t>
      </w:r>
      <w:r>
        <w:t xml:space="preserve"> </w:t>
      </w:r>
      <w:r>
        <w:t xml:space="preserve">The robust recyclability and take-back programs result in net avoided emissions, highlighting the positive impact of circular economy initiatives.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upon several factors:</w:t>
      </w:r>
    </w:p>
    <w:p>
      <w:pPr>
        <w:numPr>
          <w:ilvl w:val="0"/>
          <w:numId w:val="1022"/>
        </w:numPr>
        <w:pStyle w:val="Compact"/>
      </w:pPr>
      <w:r>
        <w:rPr>
          <w:bCs/>
          <w:b/>
        </w:rPr>
        <w:t xml:space="preserve">Data Specificity:</w:t>
      </w:r>
      <w:r>
        <w:t xml:space="preserve"> </w:t>
      </w:r>
      <w:r>
        <w:t xml:space="preserve">The analysis utilizes specific parameters provided by the user. Where placeholder strings were given (e.g., `qygvtirh`, `hvnhpdrnpx`), illustrative but plausible data consistent with the specified format and industry averages were assumed. Actual primary data for these parameters would enhance accuracy.</w:t>
      </w:r>
    </w:p>
    <w:p>
      <w:pPr>
        <w:numPr>
          <w:ilvl w:val="0"/>
          <w:numId w:val="1022"/>
        </w:numPr>
        <w:pStyle w:val="Compact"/>
      </w:pPr>
      <w:r>
        <w:rPr>
          <w:bCs/>
          <w:b/>
        </w:rPr>
        <w:t xml:space="preserve">Emission Factors:</w:t>
      </w:r>
      <w:r>
        <w:t xml:space="preserve"> </w:t>
      </w:r>
      <w:r>
        <w:t xml:space="preserve">Industry-standard emission factors were used for various lifecycle stages, referenced from reputable sources. Variations in specific supplier data or regional grid mixes could alter the results.</w:t>
      </w:r>
    </w:p>
    <w:p>
      <w:pPr>
        <w:numPr>
          <w:ilvl w:val="0"/>
          <w:numId w:val="1022"/>
        </w:numPr>
        <w:pStyle w:val="Compact"/>
      </w:pPr>
      <w:r>
        <w:rPr>
          <w:bCs/>
          <w:b/>
        </w:rPr>
        <w:t xml:space="preserve">System Boundary:</w:t>
      </w:r>
      <w:r>
        <w:t xml:space="preserve"> </w:t>
      </w:r>
      <w:r>
        <w:t xml:space="preserve">The core \'factory-gate\' boundary provides a clear operational footprint. The inclusion of downstream impacts (Use and EoL) offers a more complete lifecycle view, fulfilling the high-detail requirement, but these are technically beyond the \'factory-gate\' definition of the core PCF.</w:t>
      </w:r>
    </w:p>
    <w:p>
      <w:pPr>
        <w:numPr>
          <w:ilvl w:val="0"/>
          <w:numId w:val="1022"/>
        </w:numPr>
        <w:pStyle w:val="Compact"/>
      </w:pPr>
      <w:r>
        <w:rPr>
          <w:bCs/>
          <w:b/>
        </w:rPr>
        <w:t xml:space="preserve">Scope 3 Coverage:</w:t>
      </w:r>
      <w:r>
        <w:t xml:space="preserve"> </w:t>
      </w:r>
      <w:r>
        <w:t xml:space="preserve">Efforts were made to achieve &gt;95% Scope 3 coverage by including all relevant material categories. However, some minor Scope 3 categories (e.g., business travel, employee commuting) typically not central to a product\'s footprint were not explicitly quantified.</w:t>
      </w:r>
    </w:p>
    <w:p>
      <w:pPr>
        <w:numPr>
          <w:ilvl w:val="0"/>
          <w:numId w:val="1022"/>
        </w:numPr>
        <w:pStyle w:val="Compact"/>
      </w:pPr>
      <w:r>
        <w:rPr>
          <w:bCs/>
          <w:b/>
        </w:rPr>
        <w:t xml:space="preserve">2026 LSR Standard:</w:t>
      </w:r>
      <w:r>
        <w:t xml:space="preserve"> </w:t>
      </w:r>
      <w:r>
        <w:t xml:space="preserve">The application of the LSR Standard for land use and removals is conceptualized within the material emission factors. A more granular assessment would require specific data on land-use change associated with each raw material\'s origin, which is beyond the scope of this generic analysis.</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`wywpvvsvuq` should focus on the following strategies to reduce the carbon footprint of `hdkqvmvukn`:</w:t>
      </w:r>
    </w:p>
    <w:p>
      <w:pPr>
        <w:numPr>
          <w:ilvl w:val="0"/>
          <w:numId w:val="1023"/>
        </w:numPr>
        <w:pStyle w:val="Compact"/>
      </w:pPr>
      <w:r>
        <w:rPr>
          <w:bCs/>
          <w:b/>
        </w:rPr>
        <w:t xml:space="preserve">Optimize Use Phase Energy Efficiency:</w:t>
      </w:r>
      <w:r>
        <w:t xml:space="preserve"> </w:t>
      </w:r>
      <w:r>
        <w:t xml:space="preserve">Given the dominance of use-phase emissions, prioritize design for energy efficiency to reduce product consumption during its lifespan. This could involve using lower-power components, implementing energy-saving modes, or extending product durability to reduce replacement frequency.</w:t>
      </w:r>
    </w:p>
    <w:p>
      <w:pPr>
        <w:numPr>
          <w:ilvl w:val="0"/>
          <w:numId w:val="1023"/>
        </w:numPr>
        <w:pStyle w:val="Compact"/>
      </w:pPr>
      <w:r>
        <w:rPr>
          <w:bCs/>
          <w:b/>
        </w:rPr>
        <w:t xml:space="preserve">Decarbonize User Electricity:</w:t>
      </w:r>
      <w:r>
        <w:t xml:space="preserve"> </w:t>
      </w:r>
      <w:r>
        <w:t xml:space="preserve">Explore strategies to influence user behavior towards renewable energy sources or offer solutions that utilize low-carbon power, such as integrating small-scale renewable charging options for the product.</w:t>
      </w:r>
    </w:p>
    <w:p>
      <w:pPr>
        <w:numPr>
          <w:ilvl w:val="0"/>
          <w:numId w:val="1023"/>
        </w:numPr>
        <w:pStyle w:val="Compact"/>
      </w:pPr>
      <w:r>
        <w:rPr>
          <w:bCs/>
          <w:b/>
        </w:rPr>
        <w:t xml:space="preserve">Material Optimization:</w:t>
      </w:r>
      <w:r>
        <w:t xml:space="preserve"> </w:t>
      </w:r>
      <w:r>
        <w:t xml:space="preserve">Investigate opportunities to use lower-carbon alternatives for the most impactful materials (e.g., aluminum, battery components). This includes increasing recycled content beyond the current assumed levels or sourcing materials from suppliers with lower embodied carbon.</w:t>
      </w:r>
    </w:p>
    <w:p>
      <w:pPr>
        <w:numPr>
          <w:ilvl w:val="0"/>
          <w:numId w:val="1023"/>
        </w:numPr>
        <w:pStyle w:val="Compact"/>
      </w:pPr>
      <w:r>
        <w:rPr>
          <w:bCs/>
          <w:b/>
        </w:rPr>
        <w:t xml:space="preserve">Enhance Production Renewable Energy:</w:t>
      </w:r>
      <w:r>
        <w:t xml:space="preserve"> </w:t>
      </w:r>
      <w:r>
        <w:t xml:space="preserve">While already at 70%, further increasing renewable energy usage at the Chinese production facility to 100% can eliminate remaining Scope 2 emissions.</w:t>
      </w:r>
    </w:p>
    <w:p>
      <w:pPr>
        <w:numPr>
          <w:ilvl w:val="0"/>
          <w:numId w:val="1023"/>
        </w:numPr>
        <w:pStyle w:val="Compact"/>
      </w:pPr>
      <w:r>
        <w:rPr>
          <w:bCs/>
          <w:b/>
        </w:rPr>
        <w:t xml:space="preserve">Logistics Efficiency:</w:t>
      </w:r>
      <w:r>
        <w:t xml:space="preserve"> </w:t>
      </w:r>
      <w:r>
        <w:t xml:space="preserve">Optimize transportation routes, consolidate shipments, and explore lower-emission transport modes (e.g., rail, sea for longer distances) for both inbound and outbound logistics, particularly for the European supply chain.</w:t>
      </w:r>
    </w:p>
    <w:p>
      <w:pPr>
        <w:numPr>
          <w:ilvl w:val="0"/>
          <w:numId w:val="1023"/>
        </w:numPr>
        <w:pStyle w:val="Compact"/>
      </w:pPr>
      <w:r>
        <w:rPr>
          <w:bCs/>
          <w:b/>
        </w:rPr>
        <w:t xml:space="preserve">Strengthen Circular Economy Initiatives:</w:t>
      </w:r>
      <w:r>
        <w:t xml:space="preserve"> </w:t>
      </w:r>
      <w:r>
        <w:t xml:space="preserve">Continue to invest in and expand take-back and recycling programs. Explore opportunities for component reuse or remanufacturing to further increase material recovery and avoided emissions.</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hdkqvmvukn</dc:title>
  <dc:creator/>
  <dc:description>Detailed Product Carbon Footprint (PCF) analysis for hdkqvmvukn, manufactured by wywpvvsvuq, following GHG Protocol standards with a focus on supply chain and extended lifecycle impacts.</dc:description>
  <dc:language>en</dc:language>
  <cp:keywords/>
  <dcterms:created xsi:type="dcterms:W3CDTF">2026-05-30T20:12:27Z</dcterms:created>
  <dcterms:modified xsi:type="dcterms:W3CDTF">2026-05-30T20:12:27Z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