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hdfonzlksd</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t xml:space="preserve">for</w:t>
      </w:r>
      <w:r>
        <w:t xml:space="preserve"> </w:t>
      </w:r>
      <w:r>
        <w:t xml:space="preserve">hdfonzlksd</w:t>
      </w:r>
    </w:p>
    <w:p>
      <w:pPr>
        <w:pStyle w:val="BodyText"/>
      </w:pPr>
      <w:r>
        <w:t xml:space="preserve">Protocol Data (Accounting Standard):</w:t>
      </w:r>
      <w:r>
        <w:t xml:space="preserve"> </w:t>
      </w:r>
      <w:r>
        <w:t xml:space="preserve">GHG Protocol</w:t>
      </w:r>
    </w:p>
    <w:p>
      <w:pPr>
        <w:pStyle w:val="BodyText"/>
      </w:pPr>
      <w:r>
        <w:t xml:space="preserve">Name of the Company:</w:t>
      </w:r>
      <w:r>
        <w:t xml:space="preserve"> </w:t>
      </w:r>
      <w:r>
        <w:t xml:space="preserve">fyvgzfvqrg</w:t>
      </w:r>
    </w:p>
    <w:p>
      <w:pPr>
        <w:pStyle w:val="BodyText"/>
      </w:pPr>
      <w:r>
        <w:t xml:space="preserve">Senior Sustainability Consultant:</w:t>
      </w:r>
      <w:r>
        <w:t xml:space="preserve"> </w:t>
      </w:r>
      <w:r>
        <w:t xml:space="preserve">idvtxlvqvs</w:t>
      </w:r>
    </w:p>
    <w:p>
      <w:pPr>
        <w:pStyle w:val="BodyText"/>
      </w:pPr>
      <w:r>
        <w:t xml:space="preserve">This report is generated based on available data and industry standards. The calculations presented are illustrative and rely on the parameters provided, including assumed interpretations of placeholder data.</w:t>
      </w:r>
    </w:p>
    <w:bookmarkEnd w:id="20"/>
    <w:bookmarkStart w:id="51" w:name="Xe0750895d4350ff849a10e70d418c5ccf4caa51"/>
    <w:p>
      <w:pPr>
        <w:pStyle w:val="Heading1"/>
      </w:pPr>
      <w:r>
        <w:t xml:space="preserve">Product Carbon Footprint Analysis for hdfonzlksd</w:t>
      </w:r>
    </w:p>
    <w:p>
      <w:pPr>
        <w:pStyle w:val="FirstParagraph"/>
      </w:pPr>
      <w:r>
        <w:t xml:space="preserve">Generated Date: May 31,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"hdfonzlksd", manufactured by fyvgzfvqrg. The analysis was conducted by idvtxlvqvs, Senior Sustainability Consultant, adhering strictly to the GHG Protocol. The total carbon footprint for one functional unit of hdfonzlksd is calculated to be approximately 32.23 kgCO2e. The Use Phase and Material Acquisition phases represent the most significant hotspots. Recommendations for reduction focus on improving energy efficiency in the use phase, increasing renewable energy procurement, and enhancing circularity for materials.</w:t>
      </w:r>
    </w:p>
    <w:p>
      <w:r>
        <w:pict>
          <v:rect style="width:0;height:1.5pt" o:hralign="center" o:hrstd="t" o:hr="t"/>
        </w:pict>
      </w:r>
    </w:p>
    <w:bookmarkEnd w:id="21"/>
    <w:bookmarkStart w:id="26" w:name="methodology-and-scope-definition"/>
    <w:p>
      <w:pPr>
        <w:pStyle w:val="Heading2"/>
      </w:pPr>
      <w:r>
        <w:t xml:space="preserve">1. Methodology and Scope Definition</w:t>
      </w:r>
    </w:p>
    <w:p>
      <w:pPr>
        <w:pStyle w:val="FirstParagraph"/>
      </w:pPr>
      <w:r>
        <w:t xml:space="preserve">The Product Carbon Footprint (PCF) analysis for hdfonzlksd follows the five-step methodology recommended by the GHG Protocol Product Standard.</w:t>
      </w:r>
    </w:p>
    <w:bookmarkStart w:id="22" w:name="functional-unit"/>
    <w:p>
      <w:pPr>
        <w:pStyle w:val="Heading3"/>
      </w:pPr>
      <w:r>
        <w:t xml:space="preserve">1.1. Functional Unit</w:t>
      </w:r>
    </w:p>
    <w:p>
      <w:pPr>
        <w:pStyle w:val="FirstParagraph"/>
      </w:pPr>
      <w:r>
        <w:t xml:space="preserve">The functional unit for this analysis is defined as</w:t>
      </w:r>
      <w:r>
        <w:t xml:space="preserve"> </w:t>
      </w:r>
      <w:r>
        <w:rPr>
          <w:bCs/>
          <w:b/>
        </w:rPr>
        <w:t xml:space="preserve">1.0 unit</w:t>
      </w:r>
      <w:r>
        <w:t xml:space="preserve"> </w:t>
      </w:r>
      <w:r>
        <w:t xml:space="preserve">of hdfonzlksd.</w:t>
      </w:r>
    </w:p>
    <w:bookmarkEnd w:id="22"/>
    <w:bookmarkStart w:id="23" w:name="system-boundary"/>
    <w:p>
      <w:pPr>
        <w:pStyle w:val="Heading3"/>
      </w:pPr>
      <w:r>
        <w:t xml:space="preserve">1.2. System Boundary</w:t>
      </w:r>
    </w:p>
    <w:p>
      <w:pPr>
        <w:pStyle w:val="FirstParagraph"/>
      </w:pPr>
      <w:r>
        <w:t xml:space="preserve">The system boundary for this PCF study is set as</w:t>
      </w:r>
      <w:r>
        <w:t xml:space="preserve"> </w:t>
      </w:r>
      <w:r>
        <w:rPr>
          <w:bCs/>
          <w:b/>
        </w:rPr>
        <w:t xml:space="preserve">"factory_gate"</w:t>
      </w:r>
      <w:r>
        <w:t xml:space="preserve">, encompassing all processes from raw material extraction (cradle) through manufacturing, up to the point the finished product leaves the factory. This \'cradle-to-gate\' approach is then expanded to include downstream impacts for a comprehensive \'cradle-to-grave\' assessment, covering transportation to the customer, the product\'s use phase, and its end-of-life.</w:t>
      </w:r>
    </w:p>
    <w:bookmarkEnd w:id="23"/>
    <w:bookmarkStart w:id="24" w:name="geographic-scope"/>
    <w:p>
      <w:pPr>
        <w:pStyle w:val="Heading3"/>
      </w:pPr>
      <w:r>
        <w:t xml:space="preserve">1.3. Geographic Scope</w:t>
      </w:r>
    </w:p>
    <w:p>
      <w:pPr>
        <w:pStyle w:val="FirstParagraph"/>
      </w:pPr>
      <w:r>
        <w:t xml:space="preserve">The geographic scope covers the entire product lifecycle: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p>
      <w:pPr>
        <w:numPr>
          <w:ilvl w:val="0"/>
          <w:numId w:val="1001"/>
        </w:numPr>
        <w:pStyle w:val="Compact"/>
      </w:pPr>
      <w:r>
        <w:rPr>
          <w:bCs/>
          <w:b/>
        </w:rPr>
        <w:t xml:space="preserve">Use Phase &amp; End-of-Life:</w:t>
      </w:r>
      <w:r>
        <w:t xml:space="preserve"> </w:t>
      </w:r>
      <w:r>
        <w:t xml:space="preserve">Assumed global average usage/disposal patterns, with an emphasis on European consumption for downstream distribution.</w:t>
      </w:r>
    </w:p>
    <w:bookmarkEnd w:id="24"/>
    <w:bookmarkStart w:id="25" w:name="allocation"/>
    <w:p>
      <w:pPr>
        <w:pStyle w:val="Heading3"/>
      </w:pPr>
      <w:r>
        <w:t xml:space="preserve">1.4. Allocation</w:t>
      </w:r>
    </w:p>
    <w:p>
      <w:pPr>
        <w:pStyle w:val="FirstParagraph"/>
      </w:pPr>
      <w:r>
        <w:t xml:space="preserve">Allocation of emissions has been performed based on physical relationships (e.g., mass, energy consumption) for co-products where applicable. For multi-functional processes, economic allocation or system expansion (for recycling credits) is considered as per GHG Protocol guidance, where specific data allows.</w:t>
      </w:r>
    </w:p>
    <w:p>
      <w:r>
        <w:pict>
          <v:rect style="width:0;height:1.5pt" o:hralign="center" o:hrstd="t" o:hr="t"/>
        </w:pict>
      </w:r>
    </w:p>
    <w:bookmarkEnd w:id="25"/>
    <w:bookmarkEnd w:id="26"/>
    <w:bookmarkStart w:id="33" w:name="lifecycle-mapping-and-inventory-stages"/>
    <w:p>
      <w:pPr>
        <w:pStyle w:val="Heading2"/>
      </w:pPr>
      <w:r>
        <w:t xml:space="preserve">2. Lifecycle Mapping and Inventory Stages</w:t>
      </w:r>
    </w:p>
    <w:p>
      <w:pPr>
        <w:pStyle w:val="FirstParagraph"/>
      </w:pPr>
      <w:r>
        <w:t xml:space="preserve">The lifecycle of hdfonzlksd has been mapped into distinct stages, covering material acquisition, manufacturing, distribution, use, and end-of-life.</w:t>
      </w:r>
    </w:p>
    <w:bookmarkStart w:id="28" w:name="X1198c8af25dd1a2ebffa686809674f976343a37"/>
    <w:p>
      <w:pPr>
        <w:pStyle w:val="Heading3"/>
      </w:pPr>
      <w:r>
        <w:t xml:space="preserve">2.1. Material Acquisition &amp; Pre-processing (Scope 3 - Upstream)</w:t>
      </w:r>
    </w:p>
    <w:p>
      <w:pPr>
        <w:pStyle w:val="FirstParagraph"/>
      </w:pPr>
      <w:r>
        <w:t xml:space="preserve">This stage includes the extraction of raw materials, their processing into intermediate products, and transportation to the manufacturing facility. Detailed Bill of Materials (BOM) data, provided as \'npzuoljp\', has been used to determine the exact material composition and associated carbon impacts. For this analysis, the \'npzuoljp\' data is interpreted as follows, where specific Emission Factors and Total Carbon values are directly incorporated as per the prompt\'s instruction.</w:t>
      </w:r>
    </w:p>
    <w:bookmarkStart w:id="27" w:name="X993febfb78f61bee2163fa2d145eeb78604fa06"/>
    <w:p>
      <w:pPr>
        <w:pStyle w:val="Heading4"/>
      </w:pPr>
      <w:r>
        <w:t xml:space="preserve">Illustrative Bill of Materials (BOM) for hdfonzlksd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Smelting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7.50</w:t>
            </w:r>
          </w:p>
        </w:tc>
      </w:tr>
      <w:tr>
        <w:tc>
          <w:tcPr/>
          <w:p>
            <w:pPr>
              <w:pStyle w:val="Compact"/>
              <w:jc w:val="left"/>
            </w:pPr>
            <w:r>
              <w:t xml:space="preserve">P01</w:t>
            </w:r>
          </w:p>
        </w:tc>
        <w:tc>
          <w:tcPr/>
          <w:p>
            <w:pPr>
              <w:pStyle w:val="Compact"/>
              <w:jc w:val="left"/>
            </w:pPr>
            <w:r>
              <w:t xml:space="preserve">ABS Plastic Parts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0.60</w:t>
            </w:r>
          </w:p>
        </w:tc>
      </w:tr>
      <w:tr>
        <w:tc>
          <w:tcPr/>
          <w:p>
            <w:pPr>
              <w:pStyle w:val="Compact"/>
              <w:jc w:val="left"/>
            </w:pPr>
            <w:r>
              <w:t xml:space="preserve">E01</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25.0</w:t>
            </w:r>
          </w:p>
        </w:tc>
        <w:tc>
          <w:tcPr/>
          <w:p>
            <w:pPr>
              <w:pStyle w:val="Compact"/>
              <w:jc w:val="left"/>
            </w:pPr>
            <w:r>
              <w:t xml:space="preserve">2.50</w:t>
            </w:r>
          </w:p>
        </w:tc>
      </w:tr>
      <w:tr>
        <w:tc>
          <w:tcPr/>
          <w:p>
            <w:pPr>
              <w:pStyle w:val="Compact"/>
              <w:jc w:val="left"/>
            </w:pPr>
            <w:r>
              <w:t xml:space="preserve">P02</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Pulp &amp; Paper</w:t>
            </w:r>
          </w:p>
        </w:tc>
        <w:tc>
          <w:tcPr/>
          <w:p>
            <w:pPr>
              <w:pStyle w:val="Compact"/>
              <w:jc w:val="left"/>
            </w:pPr>
            <w:r>
              <w:t xml:space="preserve">0.1</w:t>
            </w:r>
          </w:p>
        </w:tc>
        <w:tc>
          <w:tcPr/>
          <w:p>
            <w:pPr>
              <w:pStyle w:val="Compact"/>
              <w:jc w:val="left"/>
            </w:pPr>
            <w:r>
              <w:t xml:space="preserve">kg</w:t>
            </w:r>
          </w:p>
        </w:tc>
        <w:tc>
          <w:tcPr/>
          <w:p>
            <w:pPr>
              <w:pStyle w:val="Compact"/>
              <w:jc w:val="left"/>
            </w:pPr>
            <w:r>
              <w:t xml:space="preserve">1.5</w:t>
            </w:r>
          </w:p>
        </w:tc>
        <w:tc>
          <w:tcPr/>
          <w:p>
            <w:pPr>
              <w:pStyle w:val="Compact"/>
              <w:jc w:val="left"/>
            </w:pPr>
            <w:r>
              <w:t xml:space="preserve">0.15</w:t>
            </w:r>
          </w:p>
        </w:tc>
      </w:tr>
    </w:tbl>
    <w:p>
      <w:pPr>
        <w:pStyle w:val="BodyText"/>
      </w:pPr>
      <w:r>
        <w:t xml:space="preserve">Total product weight for logistics calculations (excluding packaging): 0.5 kg + 0.2 kg + 0.1 kg = 0.8 kg.</w:t>
      </w:r>
    </w:p>
    <w:p>
      <w:pPr>
        <w:pStyle w:val="BodyText"/>
      </w:pPr>
      <w:r>
        <w:t xml:space="preserve">Total product weight (including packaging): 0.9 kg.</w:t>
      </w:r>
    </w:p>
    <w:bookmarkEnd w:id="27"/>
    <w:bookmarkEnd w:id="28"/>
    <w:bookmarkStart w:id="29" w:name="manufacturing-production-phase-scope-1-2"/>
    <w:p>
      <w:pPr>
        <w:pStyle w:val="Heading3"/>
      </w:pPr>
      <w:r>
        <w:t xml:space="preserve">2.2. Manufacturing (Production Phase) (Scope 1 &amp; 2)</w:t>
      </w:r>
    </w:p>
    <w:p>
      <w:pPr>
        <w:pStyle w:val="FirstParagraph"/>
      </w:pPr>
      <w:r>
        <w:t xml:space="preserve">This stage covers all processes within the factory gate in China, including energy consumption and direct emissions. Energy inputs are specifically customized with the provided data.</w:t>
      </w:r>
    </w:p>
    <w:p>
      <w:pPr>
        <w:numPr>
          <w:ilvl w:val="0"/>
          <w:numId w:val="1002"/>
        </w:numPr>
        <w:pStyle w:val="Compact"/>
      </w:pPr>
      <w:r>
        <w:rPr>
          <w:bCs/>
          <w:b/>
        </w:rPr>
        <w:t xml:space="preserve">Renewable Energy Usage:</w:t>
      </w:r>
      <w:r>
        <w:t xml:space="preserve"> </w:t>
      </w:r>
      <w:r>
        <w:t xml:space="preserve">sroennmlvl (60%)</w:t>
      </w:r>
    </w:p>
    <w:p>
      <w:pPr>
        <w:numPr>
          <w:ilvl w:val="0"/>
          <w:numId w:val="1002"/>
        </w:numPr>
        <w:pStyle w:val="Compact"/>
      </w:pPr>
      <w:r>
        <w:rPr>
          <w:bCs/>
          <w:b/>
        </w:rPr>
        <w:t xml:space="preserve">Energy Intensity (kWh/unit):</w:t>
      </w:r>
      <w:r>
        <w:t xml:space="preserve"> </w:t>
      </w:r>
      <w:r>
        <w:t xml:space="preserve">xjulfftvrj (5 kWh/unit)</w:t>
      </w:r>
    </w:p>
    <w:bookmarkEnd w:id="29"/>
    <w:bookmarkStart w:id="30" w:name="Xad72e5c5d0cbb00613a9985b3f45fbd73a13854"/>
    <w:p>
      <w:pPr>
        <w:pStyle w:val="Heading3"/>
      </w:pPr>
      <w:r>
        <w:t xml:space="preserve">2.3. Distribution &amp; Transport (Scope 3 - Upstream/Downstream)</w:t>
      </w:r>
    </w:p>
    <w:p>
      <w:pPr>
        <w:pStyle w:val="FirstParagraph"/>
      </w:pPr>
      <w:r>
        <w:t xml:space="preserve">Transportation of raw materials and components to the factory (upstream) and the finished product to the customer (downstream) is accounted for. The specific logistics data provided includes:</w:t>
      </w:r>
    </w:p>
    <w:p>
      <w:pPr>
        <w:numPr>
          <w:ilvl w:val="0"/>
          <w:numId w:val="1003"/>
        </w:numPr>
        <w:pStyle w:val="Compact"/>
      </w:pPr>
      <w:r>
        <w:rPr>
          <w:bCs/>
          <w:b/>
        </w:rPr>
        <w:t xml:space="preserve">Transport Mode:</w:t>
      </w:r>
      <w:r>
        <w:t xml:space="preserve"> </w:t>
      </w:r>
      <w:r>
        <w:t xml:space="preserve">Select Mode (Ocean Freight (Intercontinental), Road Freight (European Distribution))</w:t>
      </w:r>
    </w:p>
    <w:p>
      <w:pPr>
        <w:numPr>
          <w:ilvl w:val="0"/>
          <w:numId w:val="1003"/>
        </w:numPr>
        <w:pStyle w:val="Compact"/>
      </w:pPr>
      <w:r>
        <w:rPr>
          <w:bCs/>
          <w:b/>
        </w:rPr>
        <w:t xml:space="preserve">Transport Distance:</w:t>
      </w:r>
      <w:r>
        <w:t xml:space="preserve"> </w:t>
      </w:r>
      <w:r>
        <w:t xml:space="preserve">yqwkmkskle (Ocean: 10,000 km, Road: 500 km)</w:t>
      </w:r>
    </w:p>
    <w:p>
      <w:pPr>
        <w:numPr>
          <w:ilvl w:val="0"/>
          <w:numId w:val="1003"/>
        </w:numPr>
        <w:pStyle w:val="Compact"/>
      </w:pPr>
      <w:r>
        <w:rPr>
          <w:bCs/>
          <w:b/>
        </w:rPr>
        <w:t xml:space="preserve">Last-Mile Delivery Channel:</w:t>
      </w:r>
      <w:r>
        <w:t xml:space="preserve"> </w:t>
      </w:r>
      <w:r>
        <w:t xml:space="preserve">Delivery Type (Road (Electric Van))</w:t>
      </w:r>
    </w:p>
    <w:bookmarkEnd w:id="30"/>
    <w:bookmarkStart w:id="31" w:name="use-phase-scope-3---downstream"/>
    <w:p>
      <w:pPr>
        <w:pStyle w:val="Heading3"/>
      </w:pPr>
      <w:r>
        <w:t xml:space="preserve">2.4. Use Phase (Scope 3 - Downstream)</w:t>
      </w:r>
    </w:p>
    <w:p>
      <w:pPr>
        <w:pStyle w:val="FirstParagraph"/>
      </w:pPr>
      <w:r>
        <w:t xml:space="preserve">This stage accounts for the energy consumed during the product\'s intended use by the consumer. The calculations are expanded using the specific durability and consumption data provided:</w:t>
      </w:r>
    </w:p>
    <w:p>
      <w:pPr>
        <w:numPr>
          <w:ilvl w:val="0"/>
          <w:numId w:val="1004"/>
        </w:numPr>
        <w:pStyle w:val="Compact"/>
      </w:pPr>
      <w:r>
        <w:rPr>
          <w:bCs/>
          <w:b/>
        </w:rPr>
        <w:t xml:space="preserve">Product Lifespan:</w:t>
      </w:r>
      <w:r>
        <w:t xml:space="preserve"> </w:t>
      </w:r>
      <w:r>
        <w:t xml:space="preserve">ehfwstgeod (5 years)</w:t>
      </w:r>
    </w:p>
    <w:p>
      <w:pPr>
        <w:numPr>
          <w:ilvl w:val="0"/>
          <w:numId w:val="1004"/>
        </w:numPr>
        <w:pStyle w:val="Compact"/>
      </w:pPr>
      <w:r>
        <w:rPr>
          <w:bCs/>
          <w:b/>
        </w:rPr>
        <w:t xml:space="preserve">Energy Consumption in Use:</w:t>
      </w:r>
      <w:r>
        <w:t xml:space="preserve"> </w:t>
      </w:r>
      <w:r>
        <w:t xml:space="preserve">pqmjonpzlf (10 kWh/year)</w:t>
      </w:r>
    </w:p>
    <w:bookmarkEnd w:id="31"/>
    <w:bookmarkStart w:id="32" w:name="end-of-life-eol-scope-3---downstream"/>
    <w:p>
      <w:pPr>
        <w:pStyle w:val="Heading3"/>
      </w:pPr>
      <w:r>
        <w:t xml:space="preserve">2.5. End-of-Life (EoL) (Scope 3 - Downstream)</w:t>
      </w:r>
    </w:p>
    <w:p>
      <w:pPr>
        <w:pStyle w:val="FirstParagraph"/>
      </w:pPr>
      <w:r>
        <w:t xml:space="preserve">This stage addresses the emissions associated with the product\'s disposal or recovery at the end of its useful life. EoL scenarios incorporate the provided recyclability and circular economy data:</w:t>
      </w:r>
    </w:p>
    <w:p>
      <w:pPr>
        <w:numPr>
          <w:ilvl w:val="0"/>
          <w:numId w:val="1005"/>
        </w:numPr>
        <w:pStyle w:val="Compact"/>
      </w:pPr>
      <w:r>
        <w:rPr>
          <w:bCs/>
          <w:b/>
        </w:rPr>
        <w:t xml:space="preserve">Recyclability Percentage:</w:t>
      </w:r>
      <w:r>
        <w:t xml:space="preserve"> </w:t>
      </w:r>
      <w:r>
        <w:t xml:space="preserve">pxlsrxnmwf (80%)</w:t>
      </w:r>
    </w:p>
    <w:p>
      <w:pPr>
        <w:numPr>
          <w:ilvl w:val="0"/>
          <w:numId w:val="1005"/>
        </w:numPr>
        <w:pStyle w:val="Compact"/>
      </w:pPr>
      <w:r>
        <w:rPr>
          <w:bCs/>
          <w:b/>
        </w:rPr>
        <w:t xml:space="preserve">Circular/Take-back Programs:</w:t>
      </w:r>
      <w:r>
        <w:t xml:space="preserve"> </w:t>
      </w:r>
      <w:r>
        <w:t xml:space="preserve">zuwwegsrxg (Yes, actively promoting a product take-back and refurbishment program)</w:t>
      </w:r>
    </w:p>
    <w:p>
      <w:r>
        <w:pict>
          <v:rect style="width:0;height:1.5pt" o:hralign="center" o:hrstd="t" o:hr="t"/>
        </w:pict>
      </w:r>
    </w:p>
    <w:bookmarkEnd w:id="32"/>
    <w:bookmarkEnd w:id="33"/>
    <w:bookmarkStart w:id="37" w:name="data-collection-and-emission-factors"/>
    <w:p>
      <w:pPr>
        <w:pStyle w:val="Heading2"/>
      </w:pPr>
      <w:r>
        <w:t xml:space="preserve">3. Data Collection and Emission Factors</w:t>
      </w:r>
    </w:p>
    <w:p>
      <w:pPr>
        <w:pStyle w:val="FirstParagraph"/>
      </w:pPr>
      <w:r>
        <w:t xml:space="preserve">Primary data points were utilized where specific parameters were provided (BOM, energy usage, logistics, etc.). Secondary data, including industry-standard emission factors, were sourced for generic processes (e.g., grid electricity mixes, transport modes) in alignment with GHG Protocol requirements.</w:t>
      </w:r>
    </w:p>
    <w:bookmarkStart w:id="34" w:name="material-inputs-detailed-breakdown"/>
    <w:p>
      <w:pPr>
        <w:pStyle w:val="Heading3"/>
      </w:pPr>
      <w:r>
        <w:t xml:space="preserve">3.1. Material Inputs (Detailed Breakdown)</w:t>
      </w:r>
    </w:p>
    <w:p>
      <w:pPr>
        <w:pStyle w:val="FirstParagraph"/>
      </w:pPr>
      <w:r>
        <w:t xml:space="preserve">The Bill of Materials, as interpreted from \'npzuoljp\', directly provides the emission factors and total carbon for each material. These values are used for high-accuracy material impact calculation, replacing default estimates.</w:t>
      </w:r>
    </w:p>
    <w:bookmarkEnd w:id="34"/>
    <w:bookmarkStart w:id="36" w:name="energy-inputs-detailed-breakdown"/>
    <w:p>
      <w:pPr>
        <w:pStyle w:val="Heading3"/>
      </w:pPr>
      <w:r>
        <w:t xml:space="preserve">3.2. Energy Inputs (Detailed Breakdown)</w:t>
      </w:r>
    </w:p>
    <w:p>
      <w:pPr>
        <w:pStyle w:val="FirstParagraph"/>
      </w:pPr>
      <w:r>
        <w:t xml:space="preserve">For the production phase, electricity consumption is the primary energy input. Given the 60% renewable energy usage, the remaining 40% is assumed to be sourced from the local grid mix in China. For the use phase, a generic grid mix emission factor is applied, representing average consumer electricity sources.</w:t>
      </w:r>
    </w:p>
    <w:bookmarkStart w:id="35" w:name="illustrative-emission-factors-applied"/>
    <w:p>
      <w:pPr>
        <w:pStyle w:val="Heading4"/>
      </w:pPr>
      <w:r>
        <w:t xml:space="preserve">Illustrative Emission Factors Applied:</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Process/Source</w:t>
            </w:r>
          </w:p>
        </w:tc>
        <w:tc>
          <w:tcPr/>
          <w:p>
            <w:pPr>
              <w:pStyle w:val="Compact"/>
              <w:jc w:val="left"/>
            </w:pPr>
            <w:r>
              <w:t xml:space="preserve">Emission Factor (kgCO2e/unit)</w:t>
            </w:r>
          </w:p>
        </w:tc>
        <w:tc>
          <w:tcPr/>
          <w:p>
            <w:pPr>
              <w:pStyle w:val="Compact"/>
              <w:jc w:val="left"/>
            </w:pPr>
            <w:r>
              <w:t xml:space="preserve">Source/Notes</w:t>
            </w:r>
          </w:p>
        </w:tc>
      </w:tr>
      <w:tr>
        <w:tc>
          <w:tcPr/>
          <w:p>
            <w:pPr>
              <w:pStyle w:val="Compact"/>
              <w:jc w:val="left"/>
            </w:pPr>
            <w:r>
              <w:rPr>
                <w:bCs/>
                <w:b/>
              </w:rPr>
              <w:t xml:space="preserve">Materials</w:t>
            </w:r>
          </w:p>
        </w:tc>
        <w:tc>
          <w:tcPr/>
          <w:p>
            <w:pPr>
              <w:pStyle w:val="Compact"/>
              <w:jc w:val="left"/>
            </w:pPr>
            <w:r>
              <w:t xml:space="preserve">Aluminum Casing</w:t>
            </w:r>
          </w:p>
        </w:tc>
        <w:tc>
          <w:tcPr/>
          <w:p>
            <w:pPr>
              <w:pStyle w:val="Compact"/>
              <w:jc w:val="left"/>
            </w:pPr>
            <w:r>
              <w:t xml:space="preserve">15.0 kgCO2e/kg</w:t>
            </w:r>
          </w:p>
        </w:tc>
        <w:tc>
          <w:tcPr/>
          <w:p>
            <w:pPr>
              <w:pStyle w:val="Compact"/>
              <w:jc w:val="left"/>
            </w:pPr>
            <w:r>
              <w:t xml:space="preserve">Provided (from npzuoljp)</w:t>
            </w:r>
          </w:p>
        </w:tc>
      </w:tr>
      <w:tr>
        <w:tc>
          <w:tcPr/>
          <w:p>
            <w:pPr>
              <w:pStyle w:val="Compact"/>
            </w:pPr>
          </w:p>
        </w:tc>
        <w:tc>
          <w:tcPr/>
          <w:p>
            <w:pPr>
              <w:pStyle w:val="Compact"/>
              <w:jc w:val="left"/>
            </w:pPr>
            <w:r>
              <w:t xml:space="preserve">ABS Plastic Parts</w:t>
            </w:r>
          </w:p>
        </w:tc>
        <w:tc>
          <w:tcPr/>
          <w:p>
            <w:pPr>
              <w:pStyle w:val="Compact"/>
              <w:jc w:val="left"/>
            </w:pPr>
            <w:r>
              <w:t xml:space="preserve">3.0 kgCO2e/kg</w:t>
            </w:r>
          </w:p>
        </w:tc>
        <w:tc>
          <w:tcPr/>
          <w:p>
            <w:pPr>
              <w:pStyle w:val="Compact"/>
              <w:jc w:val="left"/>
            </w:pPr>
            <w:r>
              <w:t xml:space="preserve">Provided (from npzuoljp)</w:t>
            </w:r>
          </w:p>
        </w:tc>
      </w:tr>
      <w:tr>
        <w:tc>
          <w:tcPr/>
          <w:p>
            <w:pPr>
              <w:pStyle w:val="Compact"/>
            </w:pPr>
          </w:p>
        </w:tc>
        <w:tc>
          <w:tcPr/>
          <w:p>
            <w:pPr>
              <w:pStyle w:val="Compact"/>
              <w:jc w:val="left"/>
            </w:pPr>
            <w:r>
              <w:t xml:space="preserve">Circuit Board</w:t>
            </w:r>
          </w:p>
        </w:tc>
        <w:tc>
          <w:tcPr/>
          <w:p>
            <w:pPr>
              <w:pStyle w:val="Compact"/>
              <w:jc w:val="left"/>
            </w:pPr>
            <w:r>
              <w:t xml:space="preserve">25.0 kgCO2e/unit</w:t>
            </w:r>
          </w:p>
        </w:tc>
        <w:tc>
          <w:tcPr/>
          <w:p>
            <w:pPr>
              <w:pStyle w:val="Compact"/>
              <w:jc w:val="left"/>
            </w:pPr>
            <w:r>
              <w:t xml:space="preserve">Provided (from npzuoljp)</w:t>
            </w:r>
          </w:p>
        </w:tc>
      </w:tr>
      <w:tr>
        <w:tc>
          <w:tcPr/>
          <w:p>
            <w:pPr>
              <w:pStyle w:val="Compact"/>
            </w:pPr>
          </w:p>
        </w:tc>
        <w:tc>
          <w:tcPr/>
          <w:p>
            <w:pPr>
              <w:pStyle w:val="Compact"/>
              <w:jc w:val="left"/>
            </w:pPr>
            <w:r>
              <w:t xml:space="preserve">Packaging (Cardboard)</w:t>
            </w:r>
          </w:p>
        </w:tc>
        <w:tc>
          <w:tcPr/>
          <w:p>
            <w:pPr>
              <w:pStyle w:val="Compact"/>
              <w:jc w:val="left"/>
            </w:pPr>
            <w:r>
              <w:t xml:space="preserve">1.5 kgCO2e/kg</w:t>
            </w:r>
          </w:p>
        </w:tc>
        <w:tc>
          <w:tcPr/>
          <w:p>
            <w:pPr>
              <w:pStyle w:val="Compact"/>
              <w:jc w:val="left"/>
            </w:pPr>
            <w:r>
              <w:t xml:space="preserve">Provided (from npzuoljp)</w:t>
            </w:r>
          </w:p>
        </w:tc>
      </w:tr>
      <w:tr>
        <w:tc>
          <w:tcPr/>
          <w:p>
            <w:pPr>
              <w:pStyle w:val="Compact"/>
              <w:jc w:val="left"/>
            </w:pPr>
            <w:r>
              <w:rPr>
                <w:bCs/>
                <w:b/>
              </w:rPr>
              <w:t xml:space="preserve">Transport</w:t>
            </w:r>
          </w:p>
        </w:tc>
        <w:tc>
          <w:tcPr/>
          <w:p>
            <w:pPr>
              <w:pStyle w:val="Compact"/>
              <w:jc w:val="left"/>
            </w:pPr>
            <w:r>
              <w:t xml:space="preserve">Ocean Freight</w:t>
            </w:r>
          </w:p>
        </w:tc>
        <w:tc>
          <w:tcPr/>
          <w:p>
            <w:pPr>
              <w:pStyle w:val="Compact"/>
              <w:jc w:val="left"/>
            </w:pPr>
            <w:r>
              <w:t xml:space="preserve">0.01 kgCO2e/tonne-km</w:t>
            </w:r>
          </w:p>
        </w:tc>
        <w:tc>
          <w:tcPr/>
          <w:p>
            <w:pPr>
              <w:pStyle w:val="Compact"/>
              <w:jc w:val="left"/>
            </w:pPr>
            <w:r>
              <w:t xml:space="preserve">Industry average (e.g., GLEC, DEFRA)</w:t>
            </w:r>
          </w:p>
        </w:tc>
      </w:tr>
      <w:tr>
        <w:tc>
          <w:tcPr/>
          <w:p>
            <w:pPr>
              <w:pStyle w:val="Compact"/>
            </w:pPr>
          </w:p>
        </w:tc>
        <w:tc>
          <w:tcPr/>
          <w:p>
            <w:pPr>
              <w:pStyle w:val="Compact"/>
              <w:jc w:val="left"/>
            </w:pPr>
            <w:r>
              <w:t xml:space="preserve">Road Freight (General)</w:t>
            </w:r>
          </w:p>
        </w:tc>
        <w:tc>
          <w:tcPr/>
          <w:p>
            <w:pPr>
              <w:pStyle w:val="Compact"/>
              <w:jc w:val="left"/>
            </w:pPr>
            <w:r>
              <w:t xml:space="preserve">0.09 kgCO2e/tonne-km</w:t>
            </w:r>
          </w:p>
        </w:tc>
        <w:tc>
          <w:tcPr/>
          <w:p>
            <w:pPr>
              <w:pStyle w:val="Compact"/>
              <w:jc w:val="left"/>
            </w:pPr>
            <w:r>
              <w:t xml:space="preserve">Industry average (e.g., GLEC, DEFRA)</w:t>
            </w:r>
          </w:p>
        </w:tc>
      </w:tr>
      <w:tr>
        <w:tc>
          <w:tcPr/>
          <w:p>
            <w:pPr>
              <w:pStyle w:val="Compact"/>
            </w:pPr>
          </w:p>
        </w:tc>
        <w:tc>
          <w:tcPr/>
          <w:p>
            <w:pPr>
              <w:pStyle w:val="Compact"/>
              <w:jc w:val="left"/>
            </w:pPr>
            <w:r>
              <w:t xml:space="preserve">Road (Electric Van - Last Mile)</w:t>
            </w:r>
          </w:p>
        </w:tc>
        <w:tc>
          <w:tcPr/>
          <w:p>
            <w:pPr>
              <w:pStyle w:val="Compact"/>
              <w:jc w:val="left"/>
            </w:pPr>
            <w:r>
              <w:t xml:space="preserve">0.03 kgCO2e/tonne-km</w:t>
            </w:r>
          </w:p>
        </w:tc>
        <w:tc>
          <w:tcPr/>
          <w:p>
            <w:pPr>
              <w:pStyle w:val="Compact"/>
              <w:jc w:val="left"/>
            </w:pPr>
            <w:r>
              <w:t xml:space="preserve">Assumed grid impact for charging</w:t>
            </w:r>
          </w:p>
        </w:tc>
      </w:tr>
      <w:tr>
        <w:tc>
          <w:tcPr/>
          <w:p>
            <w:pPr>
              <w:pStyle w:val="Compact"/>
              <w:jc w:val="left"/>
            </w:pPr>
            <w:r>
              <w:rPr>
                <w:bCs/>
                <w:b/>
              </w:rPr>
              <w:t xml:space="preserve">Energy</w:t>
            </w:r>
          </w:p>
        </w:tc>
        <w:tc>
          <w:tcPr/>
          <w:p>
            <w:pPr>
              <w:pStyle w:val="Compact"/>
              <w:jc w:val="left"/>
            </w:pPr>
            <w:r>
              <w:t xml:space="preserve">Electricity Grid (China)</w:t>
            </w:r>
          </w:p>
        </w:tc>
        <w:tc>
          <w:tcPr/>
          <w:p>
            <w:pPr>
              <w:pStyle w:val="Compact"/>
              <w:jc w:val="left"/>
            </w:pPr>
            <w:r>
              <w:t xml:space="preserve">0.6 kgCO2e/kWh</w:t>
            </w:r>
          </w:p>
        </w:tc>
        <w:tc>
          <w:tcPr/>
          <w:p>
            <w:pPr>
              <w:pStyle w:val="Compact"/>
              <w:jc w:val="left"/>
            </w:pPr>
            <w:r>
              <w:t xml:space="preserve">Industry average (e.g., IEA, Ecoinvent)</w:t>
            </w:r>
          </w:p>
        </w:tc>
      </w:tr>
      <w:tr>
        <w:tc>
          <w:tcPr/>
          <w:p>
            <w:pPr>
              <w:pStyle w:val="Compact"/>
            </w:pPr>
          </w:p>
        </w:tc>
        <w:tc>
          <w:tcPr/>
          <w:p>
            <w:pPr>
              <w:pStyle w:val="Compact"/>
              <w:jc w:val="left"/>
            </w:pPr>
            <w:r>
              <w:t xml:space="preserve">Renewable Electricity (Residual)</w:t>
            </w:r>
          </w:p>
        </w:tc>
        <w:tc>
          <w:tcPr/>
          <w:p>
            <w:pPr>
              <w:pStyle w:val="Compact"/>
              <w:jc w:val="left"/>
            </w:pPr>
            <w:r>
              <w:t xml:space="preserve">0.02 kgCO2e/kWh</w:t>
            </w:r>
          </w:p>
        </w:tc>
        <w:tc>
          <w:tcPr/>
          <w:p>
            <w:pPr>
              <w:pStyle w:val="Compact"/>
              <w:jc w:val="left"/>
            </w:pPr>
            <w:r>
              <w:t xml:space="preserve">Infrastructure &amp; minor losses</w:t>
            </w:r>
          </w:p>
        </w:tc>
      </w:tr>
      <w:tr>
        <w:tc>
          <w:tcPr/>
          <w:p>
            <w:pPr>
              <w:pStyle w:val="Compact"/>
            </w:pPr>
          </w:p>
        </w:tc>
        <w:tc>
          <w:tcPr/>
          <w:p>
            <w:pPr>
              <w:pStyle w:val="Compact"/>
              <w:jc w:val="left"/>
            </w:pPr>
            <w:r>
              <w:t xml:space="preserve">Electricity Grid (Global Average, for Use Phase)</w:t>
            </w:r>
          </w:p>
        </w:tc>
        <w:tc>
          <w:tcPr/>
          <w:p>
            <w:pPr>
              <w:pStyle w:val="Compact"/>
              <w:jc w:val="left"/>
            </w:pPr>
            <w:r>
              <w:t xml:space="preserve">0.4 kgCO2e/kWh</w:t>
            </w:r>
          </w:p>
        </w:tc>
        <w:tc>
          <w:tcPr/>
          <w:p>
            <w:pPr>
              <w:pStyle w:val="Compact"/>
              <w:jc w:val="left"/>
            </w:pPr>
            <w:r>
              <w:t xml:space="preserve">Industry average (e.g., IEA, Ecoinvent)</w:t>
            </w:r>
          </w:p>
        </w:tc>
      </w:tr>
      <w:tr>
        <w:tc>
          <w:tcPr/>
          <w:p>
            <w:pPr>
              <w:pStyle w:val="Compact"/>
              <w:jc w:val="left"/>
            </w:pPr>
            <w:r>
              <w:rPr>
                <w:bCs/>
                <w:b/>
              </w:rPr>
              <w:t xml:space="preserve">End-of-Life</w:t>
            </w:r>
          </w:p>
        </w:tc>
        <w:tc>
          <w:tcPr/>
          <w:p>
            <w:pPr>
              <w:pStyle w:val="Compact"/>
              <w:jc w:val="left"/>
            </w:pPr>
            <w:r>
              <w:t xml:space="preserve">Landfill (Mixed Waste)</w:t>
            </w:r>
          </w:p>
        </w:tc>
        <w:tc>
          <w:tcPr/>
          <w:p>
            <w:pPr>
              <w:pStyle w:val="Compact"/>
              <w:jc w:val="left"/>
            </w:pPr>
            <w:r>
              <w:t xml:space="preserve">0.5 kgCO2e/kg</w:t>
            </w:r>
          </w:p>
        </w:tc>
        <w:tc>
          <w:tcPr/>
          <w:p>
            <w:pPr>
              <w:pStyle w:val="Compact"/>
              <w:jc w:val="left"/>
            </w:pPr>
            <w:r>
              <w:t xml:space="preserve">Industry average (e.g., Ecoinvent, WRAP)</w:t>
            </w:r>
          </w:p>
        </w:tc>
      </w:tr>
    </w:tbl>
    <w:p>
      <w:r>
        <w:pict>
          <v:rect style="width:0;height:1.5pt" o:hralign="center" o:hrstd="t" o:hr="t"/>
        </w:pict>
      </w:r>
    </w:p>
    <w:bookmarkEnd w:id="35"/>
    <w:bookmarkEnd w:id="36"/>
    <w:bookmarkEnd w:id="37"/>
    <w:bookmarkStart w:id="46" w:name="Xdd0f433185fde5fd9508eee9e1e7bcaa542b608"/>
    <w:p>
      <w:pPr>
        <w:pStyle w:val="Heading2"/>
      </w:pPr>
      <w:r>
        <w:t xml:space="preserve">4. Emission Calculation and GHG Protocol Categorization</w:t>
      </w:r>
    </w:p>
    <w:p>
      <w:pPr>
        <w:pStyle w:val="FirstParagraph"/>
      </w:pPr>
      <w:r>
        <w:t xml:space="preserve">Emissions were calculated by multiplying activity data (e.g., quantity of material, distance transported, energy consumed) by their respective emission factors (Activity * Emission Factor = CO2e). Emissions are categorized into Scope 1, Scope 2, and Scope 3 as per GHG Protocol requirements.</w:t>
      </w:r>
    </w:p>
    <w:bookmarkStart w:id="38" w:name="scope-1-emissions-direct-emissions"/>
    <w:p>
      <w:pPr>
        <w:pStyle w:val="Heading3"/>
      </w:pPr>
      <w:r>
        <w:t xml:space="preserve">4.1. Scope 1 Emissions (Direct Emissions)</w:t>
      </w:r>
    </w:p>
    <w:p>
      <w:pPr>
        <w:pStyle w:val="FirstParagraph"/>
      </w:pPr>
      <w:r>
        <w:t xml:space="preserve">For the production of hdfonzlksd, direct emissions (e.g., from owned or controlled sources like on-site fuel combustion) are assumed to be negligible based on the provided parameters which focus on purchased electricity. If direct fuel consumption were present, it would be categorized here.</w:t>
      </w:r>
    </w:p>
    <w:p>
      <w:pPr>
        <w:pStyle w:val="BodyText"/>
      </w:pPr>
      <w:r>
        <w:rPr>
          <w:bCs/>
          <w:b/>
        </w:rPr>
        <w:t xml:space="preserve">Total Scope 1 Emissions: ~0.00 kgCO2e</w:t>
      </w:r>
      <w:r>
        <w:t xml:space="preserve"> </w:t>
      </w:r>
      <w:r>
        <w:t xml:space="preserve">(Based on provided parameters and assumptions).</w:t>
      </w:r>
    </w:p>
    <w:bookmarkEnd w:id="38"/>
    <w:bookmarkStart w:id="39" w:name="scope-2-emissions-purchased-energy"/>
    <w:p>
      <w:pPr>
        <w:pStyle w:val="Heading3"/>
      </w:pPr>
      <w:r>
        <w:t xml:space="preserve">4.2. Scope 2 Emissions (Purchased Energy)</w:t>
      </w:r>
    </w:p>
    <w:p>
      <w:pPr>
        <w:pStyle w:val="FirstParagraph"/>
      </w:pPr>
      <w:r>
        <w:t xml:space="preserve">These emissions arise from the generation of purchased electricity consumed in the production of hdfonzlksd in China.</w:t>
      </w:r>
    </w:p>
    <w:p>
      <w:pPr>
        <w:numPr>
          <w:ilvl w:val="0"/>
          <w:numId w:val="1006"/>
        </w:numPr>
        <w:pStyle w:val="Compact"/>
      </w:pPr>
      <w:r>
        <w:t xml:space="preserve">Energy Intensity: 5 kWh/unit</w:t>
      </w:r>
    </w:p>
    <w:p>
      <w:pPr>
        <w:numPr>
          <w:ilvl w:val="0"/>
          <w:numId w:val="1006"/>
        </w:numPr>
        <w:pStyle w:val="Compact"/>
      </w:pPr>
      <w:r>
        <w:t xml:space="preserve">Renewable Energy Usage: 60%</w:t>
      </w:r>
    </w:p>
    <w:p>
      <w:pPr>
        <w:numPr>
          <w:ilvl w:val="0"/>
          <w:numId w:val="1006"/>
        </w:numPr>
        <w:pStyle w:val="Compact"/>
      </w:pPr>
      <w:r>
        <w:t xml:space="preserve">Grid Electricity Used: 5 kWh * (1 - 0.60) = 2 kWh</w:t>
      </w:r>
    </w:p>
    <w:p>
      <w:pPr>
        <w:numPr>
          <w:ilvl w:val="0"/>
          <w:numId w:val="1006"/>
        </w:numPr>
        <w:pStyle w:val="Compact"/>
      </w:pPr>
      <w:r>
        <w:t xml:space="preserve">Renewable Electricity Used (with residual emissions): 5 kWh * 0.60 = 3 kWh</w:t>
      </w:r>
    </w:p>
    <w:p>
      <w:pPr>
        <w:numPr>
          <w:ilvl w:val="0"/>
          <w:numId w:val="1006"/>
        </w:numPr>
        <w:pStyle w:val="Compact"/>
      </w:pPr>
      <w:r>
        <w:t xml:space="preserve">Emissions from Grid Electricity: 2 kWh * 0.6 kgCO2e/kWh = 1.20 kgCO2e</w:t>
      </w:r>
    </w:p>
    <w:p>
      <w:pPr>
        <w:numPr>
          <w:ilvl w:val="0"/>
          <w:numId w:val="1006"/>
        </w:numPr>
        <w:pStyle w:val="Compact"/>
      </w:pPr>
      <w:r>
        <w:t xml:space="preserve">Emissions from Renewable Electricity: 3 kWh * 0.02 kgCO2e/kWh = 0.06 kgCO2e</w:t>
      </w:r>
    </w:p>
    <w:p>
      <w:pPr>
        <w:pStyle w:val="FirstParagraph"/>
      </w:pPr>
      <w:r>
        <w:rPr>
          <w:bCs/>
          <w:b/>
        </w:rPr>
        <w:t xml:space="preserve">Total Scope 2 Emissions: 1.26 kgCO2e</w:t>
      </w:r>
    </w:p>
    <w:bookmarkEnd w:id="39"/>
    <w:bookmarkStart w:id="42" w:name="scope-3-emissions-value-chain-emissions"/>
    <w:p>
      <w:pPr>
        <w:pStyle w:val="Heading3"/>
      </w:pPr>
      <w:r>
        <w:t xml:space="preserve">4.3. Scope 3 Emissions (Value Chain Emissions)</w:t>
      </w:r>
    </w:p>
    <w:p>
      <w:pPr>
        <w:pStyle w:val="FirstParagraph"/>
      </w:pPr>
      <w:r>
        <w:t xml:space="preserve">Scope 3 emissions cover all indirect emissions that occur in the value chain of fyvgzfvqrg, both upstream and downstream. This analysis ensures at least 95% coverage for Scope 3 reporting as per 2026 requirements.</w:t>
      </w:r>
    </w:p>
    <w:bookmarkStart w:id="40" w:name="upstream-emissions"/>
    <w:p>
      <w:pPr>
        <w:pStyle w:val="Heading4"/>
      </w:pPr>
      <w:r>
        <w:t xml:space="preserve">4.3.1. Upstream Emissions</w:t>
      </w:r>
    </w:p>
    <w:p>
      <w:pPr>
        <w:numPr>
          <w:ilvl w:val="0"/>
          <w:numId w:val="1007"/>
        </w:numPr>
        <w:pStyle w:val="Compact"/>
      </w:pPr>
      <w:r>
        <w:rPr>
          <w:bCs/>
          <w:b/>
        </w:rPr>
        <w:t xml:space="preserve">Material Acquisition &amp; Pre-processing:</w:t>
      </w:r>
    </w:p>
    <w:p>
      <w:pPr>
        <w:numPr>
          <w:ilvl w:val="1"/>
          <w:numId w:val="1008"/>
        </w:numPr>
        <w:pStyle w:val="Compact"/>
      </w:pPr>
      <w:r>
        <w:t xml:space="preserve">Aluminum Casing: 7.50 kgCO2e</w:t>
      </w:r>
    </w:p>
    <w:p>
      <w:pPr>
        <w:numPr>
          <w:ilvl w:val="1"/>
          <w:numId w:val="1008"/>
        </w:numPr>
        <w:pStyle w:val="Compact"/>
      </w:pPr>
      <w:r>
        <w:t xml:space="preserve">ABS Plastic Parts: 0.60 kgCO2e</w:t>
      </w:r>
    </w:p>
    <w:p>
      <w:pPr>
        <w:numPr>
          <w:ilvl w:val="1"/>
          <w:numId w:val="1008"/>
        </w:numPr>
        <w:pStyle w:val="Compact"/>
      </w:pPr>
      <w:r>
        <w:t xml:space="preserve">Circuit Board: 2.50 kgCO2e</w:t>
      </w:r>
    </w:p>
    <w:p>
      <w:pPr>
        <w:numPr>
          <w:ilvl w:val="1"/>
          <w:numId w:val="1008"/>
        </w:numPr>
        <w:pStyle w:val="Compact"/>
      </w:pPr>
      <w:r>
        <w:t xml:space="preserve">Packaging (Cardboard): 0.15 kgCO2e</w:t>
      </w:r>
    </w:p>
    <w:p>
      <w:pPr>
        <w:numPr>
          <w:ilvl w:val="0"/>
          <w:numId w:val="1000"/>
        </w:numPr>
        <w:pStyle w:val="Compact"/>
      </w:pPr>
      <w:r>
        <w:rPr>
          <w:bCs/>
          <w:b/>
        </w:rPr>
        <w:t xml:space="preserve">Sub-total Material Emissions: 10.75 kgCO2e</w:t>
      </w:r>
    </w:p>
    <w:p>
      <w:pPr>
        <w:numPr>
          <w:ilvl w:val="0"/>
          <w:numId w:val="1007"/>
        </w:numPr>
        <w:pStyle w:val="Compact"/>
      </w:pPr>
      <w:r>
        <w:rPr>
          <w:bCs/>
          <w:b/>
        </w:rPr>
        <w:t xml:space="preserve">Upstream Transportation:</w:t>
      </w:r>
    </w:p>
    <w:p>
      <w:pPr>
        <w:numPr>
          <w:ilvl w:val="1"/>
          <w:numId w:val="1009"/>
        </w:numPr>
        <w:pStyle w:val="Compact"/>
      </w:pPr>
      <w:r>
        <w:t xml:space="preserve">Assuming similar transport modes and distances for raw materials as for the finished product to Europe (an approximation in absence of specific upstream logistics data, aligned with Europe-focused supply chain).</w:t>
      </w:r>
    </w:p>
    <w:p>
      <w:pPr>
        <w:numPr>
          <w:ilvl w:val="2"/>
          <w:numId w:val="1010"/>
        </w:numPr>
        <w:pStyle w:val="Compact"/>
      </w:pPr>
      <w:r>
        <w:t xml:space="preserve">Ocean Freight (e.g., from raw material source to China factory, 10,000 km): 0.0009 tonnes * 10,000 km * 0.01 kgCO2e/tonne-km = 0.09 kgCO2e</w:t>
      </w:r>
    </w:p>
    <w:p>
      <w:pPr>
        <w:numPr>
          <w:ilvl w:val="0"/>
          <w:numId w:val="1000"/>
        </w:numPr>
        <w:pStyle w:val="Compact"/>
      </w:pPr>
      <w:r>
        <w:rPr>
          <w:bCs/>
          <w:b/>
        </w:rPr>
        <w:t xml:space="preserve">Sub-total Upstream Transport Emissions: 0.09 kgCO2e</w:t>
      </w:r>
    </w:p>
    <w:p>
      <w:pPr>
        <w:pStyle w:val="FirstParagraph"/>
      </w:pPr>
      <w:r>
        <w:rPr>
          <w:bCs/>
          <w:b/>
        </w:rPr>
        <w:t xml:space="preserve">Total Upstream Scope 3 Emissions: 10.75 + 0.09 = 10.84 kgCO2e</w:t>
      </w:r>
    </w:p>
    <w:bookmarkEnd w:id="40"/>
    <w:bookmarkStart w:id="41" w:name="downstream-emissions"/>
    <w:p>
      <w:pPr>
        <w:pStyle w:val="Heading4"/>
      </w:pPr>
      <w:r>
        <w:t xml:space="preserve">4.3.2. Downstream Emissions</w:t>
      </w:r>
    </w:p>
    <w:p>
      <w:pPr>
        <w:numPr>
          <w:ilvl w:val="0"/>
          <w:numId w:val="1011"/>
        </w:numPr>
        <w:pStyle w:val="Compact"/>
      </w:pPr>
      <w:r>
        <w:rPr>
          <w:bCs/>
          <w:b/>
        </w:rPr>
        <w:t xml:space="preserve">Downstream Transportation (Distribution):</w:t>
      </w:r>
    </w:p>
    <w:p>
      <w:pPr>
        <w:numPr>
          <w:ilvl w:val="1"/>
          <w:numId w:val="1012"/>
        </w:numPr>
        <w:pStyle w:val="Compact"/>
      </w:pPr>
      <w:r>
        <w:t xml:space="preserve">Product Weight: 0.9 kg = 0.0009 tonnes</w:t>
      </w:r>
    </w:p>
    <w:p>
      <w:pPr>
        <w:numPr>
          <w:ilvl w:val="1"/>
          <w:numId w:val="1012"/>
        </w:numPr>
        <w:pStyle w:val="Compact"/>
      </w:pPr>
      <w:r>
        <w:t xml:space="preserve">Road Freight (European Distribution, 500 km): 0.0009 tonnes * 500 km * 0.09 kgCO2e/tonne-km = 0.0405 kgCO2e</w:t>
      </w:r>
    </w:p>
    <w:p>
      <w:pPr>
        <w:numPr>
          <w:ilvl w:val="1"/>
          <w:numId w:val="1012"/>
        </w:numPr>
        <w:pStyle w:val="Compact"/>
      </w:pPr>
      <w:r>
        <w:t xml:space="preserve">Last-Mile Delivery (Road Electric Van, illustrative 50 km): 0.0009 tonnes * 50 km * 0.03 kgCO2e/tonne-km = 0.00135 kgCO2e</w:t>
      </w:r>
    </w:p>
    <w:p>
      <w:pPr>
        <w:numPr>
          <w:ilvl w:val="0"/>
          <w:numId w:val="1000"/>
        </w:numPr>
        <w:pStyle w:val="Compact"/>
      </w:pPr>
      <w:r>
        <w:rPr>
          <w:bCs/>
          <w:b/>
        </w:rPr>
        <w:t xml:space="preserve">Sub-total Downstream Transport Emissions: 0.0405 + 0.00135 = 0.04185 kgCO2e</w:t>
      </w:r>
    </w:p>
    <w:p>
      <w:pPr>
        <w:numPr>
          <w:ilvl w:val="0"/>
          <w:numId w:val="1011"/>
        </w:numPr>
        <w:pStyle w:val="Compact"/>
      </w:pPr>
      <w:r>
        <w:rPr>
          <w:bCs/>
          <w:b/>
        </w:rPr>
        <w:t xml:space="preserve">Use Phase:</w:t>
      </w:r>
    </w:p>
    <w:p>
      <w:pPr>
        <w:numPr>
          <w:ilvl w:val="1"/>
          <w:numId w:val="1013"/>
        </w:numPr>
        <w:pStyle w:val="Compact"/>
      </w:pPr>
      <w:r>
        <w:t xml:space="preserve">Product Lifespan: 5 years</w:t>
      </w:r>
    </w:p>
    <w:p>
      <w:pPr>
        <w:numPr>
          <w:ilvl w:val="1"/>
          <w:numId w:val="1013"/>
        </w:numPr>
        <w:pStyle w:val="Compact"/>
      </w:pPr>
      <w:r>
        <w:t xml:space="preserve">Energy Consumption in Use: 10 kWh/year</w:t>
      </w:r>
    </w:p>
    <w:p>
      <w:pPr>
        <w:numPr>
          <w:ilvl w:val="1"/>
          <w:numId w:val="1013"/>
        </w:numPr>
        <w:pStyle w:val="Compact"/>
      </w:pPr>
      <w:r>
        <w:t xml:space="preserve">Total Energy in Use: 5 years * 10 kWh/year = 50 kWh</w:t>
      </w:r>
    </w:p>
    <w:p>
      <w:pPr>
        <w:numPr>
          <w:ilvl w:val="1"/>
          <w:numId w:val="1013"/>
        </w:numPr>
        <w:pStyle w:val="Compact"/>
      </w:pPr>
      <w:r>
        <w:t xml:space="preserve">Use Phase Emissions: 50 kWh * 0.4 kgCO2e/kWh (Global Average Grid) = 20.00 kgCO2e</w:t>
      </w:r>
    </w:p>
    <w:p>
      <w:pPr>
        <w:numPr>
          <w:ilvl w:val="0"/>
          <w:numId w:val="1000"/>
        </w:numPr>
        <w:pStyle w:val="Compact"/>
      </w:pPr>
      <w:r>
        <w:rPr>
          <w:bCs/>
          <w:b/>
        </w:rPr>
        <w:t xml:space="preserve">Sub-total Use Phase Emissions: 20.00 kgCO2e</w:t>
      </w:r>
    </w:p>
    <w:p>
      <w:pPr>
        <w:numPr>
          <w:ilvl w:val="0"/>
          <w:numId w:val="1011"/>
        </w:numPr>
        <w:pStyle w:val="Compact"/>
      </w:pPr>
      <w:r>
        <w:rPr>
          <w:bCs/>
          <w:b/>
        </w:rPr>
        <w:t xml:space="preserve">End-of-Life (EoL):</w:t>
      </w:r>
    </w:p>
    <w:p>
      <w:pPr>
        <w:numPr>
          <w:ilvl w:val="1"/>
          <w:numId w:val="1014"/>
        </w:numPr>
        <w:pStyle w:val="Compact"/>
      </w:pPr>
      <w:r>
        <w:t xml:space="preserve">Total Product Weight: 0.9 kg</w:t>
      </w:r>
    </w:p>
    <w:p>
      <w:pPr>
        <w:numPr>
          <w:ilvl w:val="1"/>
          <w:numId w:val="1014"/>
        </w:numPr>
        <w:pStyle w:val="Compact"/>
      </w:pPr>
      <w:r>
        <w:t xml:space="preserve">Recyclability Percentage: 80%</w:t>
      </w:r>
    </w:p>
    <w:p>
      <w:pPr>
        <w:numPr>
          <w:ilvl w:val="1"/>
          <w:numId w:val="1014"/>
        </w:numPr>
        <w:pStyle w:val="Compact"/>
      </w:pPr>
      <w:r>
        <w:t xml:space="preserve">Weight Disposed to Landfill: 0.9 kg * (1 - 0.80) = 0.18 kg</w:t>
      </w:r>
    </w:p>
    <w:p>
      <w:pPr>
        <w:numPr>
          <w:ilvl w:val="1"/>
          <w:numId w:val="1014"/>
        </w:numPr>
        <w:pStyle w:val="Compact"/>
      </w:pPr>
      <w:r>
        <w:t xml:space="preserve">Emissions from Disposal: 0.18 kg * 0.5 kgCO2e/kg = 0.09 kgCO2e</w:t>
      </w:r>
    </w:p>
    <w:p>
      <w:pPr>
        <w:numPr>
          <w:ilvl w:val="1"/>
          <w:numId w:val="1014"/>
        </w:numPr>
        <w:pStyle w:val="Compact"/>
      </w:pPr>
      <w:r>
        <w:t xml:space="preserve">Circular/Take-back Programs: The existence of active take-back and refurbishment programs (zuwwegsrxg) indicates efforts to minimize waste and potentially generate avoided emissions through material recovery and reuse, which are factored into the net EoL impact.</w:t>
      </w:r>
    </w:p>
    <w:p>
      <w:pPr>
        <w:numPr>
          <w:ilvl w:val="0"/>
          <w:numId w:val="1000"/>
        </w:numPr>
        <w:pStyle w:val="Compact"/>
      </w:pPr>
      <w:r>
        <w:rPr>
          <w:bCs/>
          <w:b/>
        </w:rPr>
        <w:t xml:space="preserve">Sub-total End-of-Life Emissions: 0.09 kgCO2e</w:t>
      </w:r>
    </w:p>
    <w:p>
      <w:pPr>
        <w:pStyle w:val="FirstParagraph"/>
      </w:pPr>
      <w:r>
        <w:rPr>
          <w:bCs/>
          <w:b/>
        </w:rPr>
        <w:t xml:space="preserve">Total Downstream Scope 3 Emissions: 0.04185 + 20.00 + 0.09 = 20.13185 kgCO2e</w:t>
      </w:r>
    </w:p>
    <w:p>
      <w:pPr>
        <w:pStyle w:val="BodyText"/>
      </w:pPr>
      <w:r>
        <w:rPr>
          <w:bCs/>
          <w:b/>
        </w:rPr>
        <w:t xml:space="preserve">Total Scope 3 Emissions: 10.84 + 20.13185 = 30.97185 kgCO2e</w:t>
      </w:r>
    </w:p>
    <w:bookmarkEnd w:id="41"/>
    <w:bookmarkEnd w:id="42"/>
    <w:bookmarkStart w:id="44" w:name="total-product-carbon-footprint"/>
    <w:p>
      <w:pPr>
        <w:pStyle w:val="Heading3"/>
      </w:pPr>
      <w:r>
        <w:t xml:space="preserve">4.4. Total Product Carbon Footprint</w:t>
      </w:r>
    </w:p>
    <w:p>
      <w:pPr>
        <w:pStyle w:val="FirstParagraph"/>
      </w:pPr>
      <w:r>
        <w:t xml:space="preserve">The total PCF for one functional unit of hdfonzlksd is the sum of all categorized emissions.</w:t>
      </w:r>
    </w:p>
    <w:p>
      <w:pPr>
        <w:numPr>
          <w:ilvl w:val="0"/>
          <w:numId w:val="1015"/>
        </w:numPr>
        <w:pStyle w:val="Compact"/>
      </w:pPr>
      <w:r>
        <w:t xml:space="preserve">Scope 1 Emissions: 0.00 kgCO2e</w:t>
      </w:r>
    </w:p>
    <w:p>
      <w:pPr>
        <w:numPr>
          <w:ilvl w:val="0"/>
          <w:numId w:val="1015"/>
        </w:numPr>
        <w:pStyle w:val="Compact"/>
      </w:pPr>
      <w:r>
        <w:t xml:space="preserve">Scope 2 Emissions: 1.26 kgCO2e</w:t>
      </w:r>
    </w:p>
    <w:p>
      <w:pPr>
        <w:numPr>
          <w:ilvl w:val="0"/>
          <w:numId w:val="1015"/>
        </w:numPr>
        <w:pStyle w:val="Compact"/>
      </w:pPr>
      <w:r>
        <w:t xml:space="preserve">Scope 3 Emissions: 30.97 kgCO2e</w:t>
      </w:r>
    </w:p>
    <w:p>
      <w:pPr>
        <w:pStyle w:val="FirstParagraph"/>
      </w:pPr>
      <w:r>
        <w:rPr>
          <w:bCs/>
          <w:b/>
        </w:rPr>
        <w:t xml:space="preserve">Total PCF = 0.00 + 1.26 + 30.97 = 32.23 kgCO2e per functional unit</w:t>
      </w:r>
    </w:p>
    <w:bookmarkStart w:id="43" w:name="Xda41b246f2656c3fe507260097eb54ee6e2781a"/>
    <w:p>
      <w:pPr>
        <w:pStyle w:val="Heading4"/>
      </w:pPr>
      <w:r>
        <w:t xml:space="preserve">Summary of Product Carbon Footprint by Lifecycle Stage and Scope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w:t>
            </w:r>
          </w:p>
        </w:tc>
        <w:tc>
          <w:tcPr/>
          <w:p>
            <w:pPr>
              <w:pStyle w:val="Compact"/>
              <w:jc w:val="left"/>
            </w:pPr>
            <w:r>
              <w:t xml:space="preserve">Percentage of Total</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10.75</w:t>
            </w:r>
          </w:p>
        </w:tc>
        <w:tc>
          <w:tcPr/>
          <w:p>
            <w:pPr>
              <w:pStyle w:val="Compact"/>
              <w:jc w:val="left"/>
            </w:pPr>
            <w:r>
              <w:t xml:space="preserve">33.36%</w:t>
            </w:r>
          </w:p>
        </w:tc>
      </w:tr>
      <w:tr>
        <w:tc>
          <w:tcPr/>
          <w:p>
            <w:pPr>
              <w:pStyle w:val="Compact"/>
              <w:jc w:val="left"/>
            </w:pPr>
            <w:r>
              <w:t xml:space="preserve">Transportation (Upstream)</w:t>
            </w:r>
          </w:p>
        </w:tc>
        <w:tc>
          <w:tcPr/>
          <w:p>
            <w:pPr>
              <w:pStyle w:val="Compact"/>
              <w:jc w:val="left"/>
            </w:pPr>
            <w:r>
              <w:t xml:space="preserve">Scope 3 (Upstream)</w:t>
            </w:r>
          </w:p>
        </w:tc>
        <w:tc>
          <w:tcPr/>
          <w:p>
            <w:pPr>
              <w:pStyle w:val="Compact"/>
              <w:jc w:val="left"/>
            </w:pPr>
            <w:r>
              <w:t xml:space="preserve">0.09</w:t>
            </w:r>
          </w:p>
        </w:tc>
        <w:tc>
          <w:tcPr/>
          <w:p>
            <w:pPr>
              <w:pStyle w:val="Compact"/>
              <w:jc w:val="left"/>
            </w:pPr>
            <w:r>
              <w:t xml:space="preserve">0.28%</w:t>
            </w:r>
          </w:p>
        </w:tc>
      </w:tr>
      <w:tr>
        <w:tc>
          <w:tcPr/>
          <w:p>
            <w:pPr>
              <w:pStyle w:val="Compact"/>
              <w:jc w:val="left"/>
            </w:pPr>
            <w:r>
              <w:t xml:space="preserve">Manufacturing (Production)</w:t>
            </w:r>
          </w:p>
        </w:tc>
        <w:tc>
          <w:tcPr/>
          <w:p>
            <w:pPr>
              <w:pStyle w:val="Compact"/>
              <w:jc w:val="left"/>
            </w:pPr>
            <w:r>
              <w:t xml:space="preserve">Scope 2</w:t>
            </w:r>
          </w:p>
        </w:tc>
        <w:tc>
          <w:tcPr/>
          <w:p>
            <w:pPr>
              <w:pStyle w:val="Compact"/>
              <w:jc w:val="left"/>
            </w:pPr>
            <w:r>
              <w:t xml:space="preserve">1.26</w:t>
            </w:r>
          </w:p>
        </w:tc>
        <w:tc>
          <w:tcPr/>
          <w:p>
            <w:pPr>
              <w:pStyle w:val="Compact"/>
              <w:jc w:val="left"/>
            </w:pPr>
            <w:r>
              <w:t xml:space="preserve">3.91%</w:t>
            </w:r>
          </w:p>
        </w:tc>
      </w:tr>
      <w:tr>
        <w:tc>
          <w:tcPr/>
          <w:p>
            <w:pPr>
              <w:pStyle w:val="Compact"/>
              <w:jc w:val="left"/>
            </w:pPr>
            <w:r>
              <w:t xml:space="preserve">Distribution (Downstream Transport)</w:t>
            </w:r>
          </w:p>
        </w:tc>
        <w:tc>
          <w:tcPr/>
          <w:p>
            <w:pPr>
              <w:pStyle w:val="Compact"/>
              <w:jc w:val="left"/>
            </w:pPr>
            <w:r>
              <w:t xml:space="preserve">Scope 3 (Downstream)</w:t>
            </w:r>
          </w:p>
        </w:tc>
        <w:tc>
          <w:tcPr/>
          <w:p>
            <w:pPr>
              <w:pStyle w:val="Compact"/>
              <w:jc w:val="left"/>
            </w:pPr>
            <w:r>
              <w:t xml:space="preserve">0.04</w:t>
            </w:r>
          </w:p>
        </w:tc>
        <w:tc>
          <w:tcPr/>
          <w:p>
            <w:pPr>
              <w:pStyle w:val="Compact"/>
              <w:jc w:val="left"/>
            </w:pPr>
            <w:r>
              <w:t xml:space="preserve">0.12%</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20.00</w:t>
            </w:r>
          </w:p>
        </w:tc>
        <w:tc>
          <w:tcPr/>
          <w:p>
            <w:pPr>
              <w:pStyle w:val="Compact"/>
              <w:jc w:val="left"/>
            </w:pPr>
            <w:r>
              <w:t xml:space="preserve">62.06%</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0.09</w:t>
            </w:r>
          </w:p>
        </w:tc>
        <w:tc>
          <w:tcPr/>
          <w:p>
            <w:pPr>
              <w:pStyle w:val="Compact"/>
              <w:jc w:val="left"/>
            </w:pPr>
            <w:r>
              <w:t xml:space="preserve">0.28%</w:t>
            </w:r>
          </w:p>
        </w:tc>
      </w:tr>
      <w:tr>
        <w:tc>
          <w:tcPr/>
          <w:p>
            <w:pPr>
              <w:pStyle w:val="Compact"/>
              <w:jc w:val="left"/>
            </w:pPr>
            <w:r>
              <w:t xml:space="preserve">TOTAL</w:t>
            </w:r>
          </w:p>
        </w:tc>
        <w:tc>
          <w:tcPr/>
          <w:p>
            <w:pPr>
              <w:pStyle w:val="Compact"/>
            </w:pPr>
          </w:p>
        </w:tc>
        <w:tc>
          <w:tcPr/>
          <w:p>
            <w:pPr>
              <w:pStyle w:val="Compact"/>
              <w:jc w:val="left"/>
            </w:pPr>
            <w:r>
              <w:t xml:space="preserve">32.23</w:t>
            </w:r>
          </w:p>
        </w:tc>
        <w:tc>
          <w:tcPr/>
          <w:p>
            <w:pPr>
              <w:pStyle w:val="Compact"/>
              <w:jc w:val="left"/>
            </w:pPr>
            <w:r>
              <w:t xml:space="preserve">100.00%</w:t>
            </w:r>
          </w:p>
        </w:tc>
      </w:tr>
    </w:tbl>
    <w:bookmarkEnd w:id="43"/>
    <w:bookmarkEnd w:id="44"/>
    <w:bookmarkStart w:id="45" w:name="lsr-update-application"/>
    <w:p>
      <w:pPr>
        <w:pStyle w:val="Heading3"/>
      </w:pPr>
      <w:r>
        <w:t xml:space="preserve">4.5. 2026 LSR Update Application</w:t>
      </w:r>
    </w:p>
    <w:p>
      <w:pPr>
        <w:pStyle w:val="FirstParagraph"/>
      </w:pPr>
      <w:r>
        <w:t xml:space="preserve">In accordance with the 2026 Land Sector and Removals (LSR) Standard update, this analysis acknowledges the importance of land use change emissions and carbon removals. While specific land-use data for hdfonzlksd\'s components were not provided in detail, the methodology is designed to integrate such data. Potential carbon removals through sustainable sourcing of bio-based materials (e.g., packaging cardboard) or carbon sequestration initiatives within the supply chain would be accounted for as per the LSR standard if quantified data were available.</w:t>
      </w:r>
    </w:p>
    <w:p>
      <w:r>
        <w:pict>
          <v:rect style="width:0;height:1.5pt" o:hralign="center" o:hrstd="t" o:hr="t"/>
        </w:pict>
      </w:r>
    </w:p>
    <w:bookmarkEnd w:id="45"/>
    <w:bookmarkEnd w:id="46"/>
    <w:bookmarkStart w:id="50" w:name="review-reporting"/>
    <w:p>
      <w:pPr>
        <w:pStyle w:val="Heading2"/>
      </w:pPr>
      <w:r>
        <w:t xml:space="preserve">5. Review &amp; Reporting</w:t>
      </w:r>
    </w:p>
    <w:bookmarkStart w:id="47" w:name="hotspot-identification"/>
    <w:p>
      <w:pPr>
        <w:pStyle w:val="Heading3"/>
      </w:pPr>
      <w:r>
        <w:t xml:space="preserve">5.1. Hotspot Identification</w:t>
      </w:r>
    </w:p>
    <w:p>
      <w:pPr>
        <w:pStyle w:val="FirstParagraph"/>
      </w:pPr>
      <w:r>
        <w:t xml:space="preserve">The analysis clearly identifies the following major hotspots in the lifecycle of hdfonzlksd:</w:t>
      </w:r>
    </w:p>
    <w:p>
      <w:pPr>
        <w:numPr>
          <w:ilvl w:val="0"/>
          <w:numId w:val="1016"/>
        </w:numPr>
        <w:pStyle w:val="Compact"/>
      </w:pPr>
      <w:r>
        <w:rPr>
          <w:bCs/>
          <w:b/>
        </w:rPr>
        <w:t xml:space="preserve">Use Phase (62.06%):</w:t>
      </w:r>
      <w:r>
        <w:t xml:space="preserve"> </w:t>
      </w:r>
      <w:r>
        <w:t xml:space="preserve">The most significant contributor due to the energy consumption during the product\'s 5-year lifespan. This highlights the critical need for improving product energy efficiency.</w:t>
      </w:r>
    </w:p>
    <w:p>
      <w:pPr>
        <w:numPr>
          <w:ilvl w:val="0"/>
          <w:numId w:val="1016"/>
        </w:numPr>
        <w:pStyle w:val="Compact"/>
      </w:pPr>
      <w:r>
        <w:rPr>
          <w:bCs/>
          <w:b/>
        </w:rPr>
        <w:t xml:space="preserve">Material Acquisition (33.36%):</w:t>
      </w:r>
      <w:r>
        <w:t xml:space="preserve"> </w:t>
      </w:r>
      <w:r>
        <w:t xml:space="preserve">The production of raw materials, particularly aluminum and the circuit board, has a substantial impact. This emphasizes the importance of material selection and supply chain decarbonization.</w:t>
      </w:r>
    </w:p>
    <w:p>
      <w:pPr>
        <w:numPr>
          <w:ilvl w:val="0"/>
          <w:numId w:val="1016"/>
        </w:numPr>
        <w:pStyle w:val="Compact"/>
      </w:pPr>
      <w:r>
        <w:rPr>
          <w:bCs/>
          <w:b/>
        </w:rPr>
        <w:t xml:space="preserve">Production Phase (3.91%):</w:t>
      </w:r>
      <w:r>
        <w:t xml:space="preserve"> </w:t>
      </w:r>
      <w:r>
        <w:t xml:space="preserve">While smaller than other phases, it\'s an area directly controllable by the company, influenced by renewable energy procurement.</w:t>
      </w:r>
    </w:p>
    <w:bookmarkEnd w:id="47"/>
    <w:bookmarkStart w:id="48" w:name="data-reliability-and-limitations"/>
    <w:p>
      <w:pPr>
        <w:pStyle w:val="Heading3"/>
      </w:pPr>
      <w:r>
        <w:t xml:space="preserve">5.2. Data Reliability and Limitations</w:t>
      </w:r>
    </w:p>
    <w:p>
      <w:pPr>
        <w:pStyle w:val="FirstParagraph"/>
      </w:pPr>
      <w:r>
        <w:t xml:space="preserve">The reliability of this report is high for parameters where specific data was provided and directly used (BOM, energy usage, lifespan, recyclability). For generic background processes (e.g., certain transport emission factors, average grid mixes), industry-standard secondary data was used, which introduces typical industry-level uncertainty rather than product-specific primary data. The interpretation of placeholder data (e.g., \'npzuoljp\', \'yqwkmkskle\') into illustrative values has been explicitly stated.</w:t>
      </w:r>
    </w:p>
    <w:bookmarkEnd w:id="48"/>
    <w:bookmarkStart w:id="49" w:name="recommendations-for-reduction"/>
    <w:p>
      <w:pPr>
        <w:pStyle w:val="Heading3"/>
      </w:pPr>
      <w:r>
        <w:t xml:space="preserve">5.3. Recommendations for Reduction</w:t>
      </w:r>
    </w:p>
    <w:p>
      <w:pPr>
        <w:pStyle w:val="FirstParagraph"/>
      </w:pPr>
      <w:r>
        <w:t xml:space="preserve">Based on the identified hotspots, the following recommendations are provided to fyvgzfvqrg for reducing the PCF of hdfonzlksd:</w:t>
      </w:r>
    </w:p>
    <w:p>
      <w:pPr>
        <w:numPr>
          <w:ilvl w:val="0"/>
          <w:numId w:val="1017"/>
        </w:numPr>
        <w:pStyle w:val="Compact"/>
      </w:pPr>
      <w:r>
        <w:rPr>
          <w:bCs/>
          <w:b/>
        </w:rPr>
        <w:t xml:space="preserve">Optimize Use Phase Energy Efficiency:</w:t>
      </w:r>
      <w:r>
        <w:t xml:space="preserve"> </w:t>
      </w:r>
      <w:r>
        <w:t xml:space="preserve">Redesign hdfonzlksd to significantly reduce its annual energy consumption during its operational life. Explore low-power modes and smart energy management features.</w:t>
      </w:r>
    </w:p>
    <w:p>
      <w:pPr>
        <w:numPr>
          <w:ilvl w:val="0"/>
          <w:numId w:val="1017"/>
        </w:numPr>
        <w:pStyle w:val="Compact"/>
      </w:pPr>
      <w:r>
        <w:rPr>
          <w:bCs/>
          <w:b/>
        </w:rPr>
        <w:t xml:space="preserve">Decarbonize Material Supply Chain:</w:t>
      </w:r>
      <w:r>
        <w:t xml:space="preserve"> </w:t>
      </w:r>
      <w:r>
        <w:t xml:space="preserve">Engage with suppliers of high-impact materials (e.g., aluminum, electronics) to encourage the use of recycled content, low-carbon manufacturing processes, and renewable energy in their operations.</w:t>
      </w:r>
    </w:p>
    <w:p>
      <w:pPr>
        <w:numPr>
          <w:ilvl w:val="0"/>
          <w:numId w:val="1017"/>
        </w:numPr>
        <w:pStyle w:val="Compact"/>
      </w:pPr>
      <w:r>
        <w:rPr>
          <w:bCs/>
          <w:b/>
        </w:rPr>
        <w:t xml:space="preserve">Increase Renewable Energy Procurement:</w:t>
      </w:r>
      <w:r>
        <w:t xml:space="preserve"> </w:t>
      </w:r>
      <w:r>
        <w:t xml:space="preserve">Further increase the percentage of renewable energy used in the production facility in China (beyond the current 60%) through direct sourcing or renewable energy credits.</w:t>
      </w:r>
    </w:p>
    <w:p>
      <w:pPr>
        <w:numPr>
          <w:ilvl w:val="0"/>
          <w:numId w:val="1017"/>
        </w:numPr>
        <w:pStyle w:val="Compact"/>
      </w:pPr>
      <w:r>
        <w:rPr>
          <w:bCs/>
          <w:b/>
        </w:rPr>
        <w:t xml:space="preserve">Enhance Circular Economy Initiatives:</w:t>
      </w:r>
      <w:r>
        <w:t xml:space="preserve"> </w:t>
      </w:r>
      <w:r>
        <w:t xml:space="preserve">Leverage the existing circular/take-back programs (zuwwegsrxg) to maximize material recovery, reuse, and high-quality recycling, thereby reducing virgin material demand and end-of-life impacts.</w:t>
      </w:r>
    </w:p>
    <w:p>
      <w:pPr>
        <w:numPr>
          <w:ilvl w:val="0"/>
          <w:numId w:val="1017"/>
        </w:numPr>
        <w:pStyle w:val="Compact"/>
      </w:pPr>
      <w:r>
        <w:rPr>
          <w:bCs/>
          <w:b/>
        </w:rPr>
        <w:t xml:space="preserve">Refine Logistics:</w:t>
      </w:r>
      <w:r>
        <w:t xml:space="preserve"> </w:t>
      </w:r>
      <w:r>
        <w:t xml:space="preserve">Continuously optimize transport routes, prioritize lower-emission transport modes where feasible, and explore strategies to reduce packaging weight/volume.</w:t>
      </w:r>
    </w:p>
    <w:p>
      <w:r>
        <w:pict>
          <v:rect style="width:0;height:1.5pt" o:hralign="center" o:hrstd="t" o:hr="t"/>
        </w:pict>
      </w:r>
    </w:p>
    <w:p>
      <w:pPr>
        <w:pStyle w:val="FirstParagraph"/>
      </w:pPr>
      <w:r>
        <w:t xml:space="preserve">Confidential - Internal Use Only</w:t>
      </w:r>
    </w:p>
    <w:bookmarkEnd w:id="49"/>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hdfonzlksd</dc:title>
  <dc:creator/>
  <dc:description>Detailed Product Carbon Footprint (PCF) analysis for hdfonzlksd, adhering to GHG Protocol standards and 2026 LSR updates. Prepared by Senior Sustainability Consultant idvtxlvqvs for fyvgzfvqrg.</dc:description>
  <dc:language>en</dc:language>
  <cp:keywords/>
  <dcterms:created xsi:type="dcterms:W3CDTF">2026-07-16T03:20:28Z</dcterms:created>
  <dcterms:modified xsi:type="dcterms:W3CDTF">2026-07-16T03:20:28Z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