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gzwnkngrsx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gzwnkngrsx</w:t>
      </w:r>
    </w:p>
    <w:p>
      <w:pPr>
        <w:pStyle w:val="BodyText"/>
      </w:pPr>
      <w:r>
        <w:rPr>
          <w:bCs/>
          <w:b/>
        </w:rPr>
        <w:t xml:space="preserve">Protocol Data (Accounting Standard):</w:t>
      </w:r>
      <w:r>
        <w:t xml:space="preserve"> </w:t>
      </w:r>
      <w:r>
        <w:t xml:space="preserve">GHG Protocol</w:t>
      </w:r>
    </w:p>
    <w:p>
      <w:pPr>
        <w:pStyle w:val="BodyText"/>
      </w:pPr>
      <w:r>
        <w:rPr>
          <w:bCs/>
          <w:b/>
        </w:rPr>
        <w:t xml:space="preserve">Company Name:</w:t>
      </w:r>
      <w:r>
        <w:t xml:space="preserve"> </w:t>
      </w:r>
      <w:r>
        <w:t xml:space="preserve">kdzeoyszmo</w:t>
      </w:r>
    </w:p>
    <w:p>
      <w:pPr>
        <w:pStyle w:val="BodyText"/>
      </w:pPr>
      <w:r>
        <w:rPr>
          <w:bCs/>
          <w:b/>
        </w:rPr>
        <w:t xml:space="preserve">Senior Sustainability Consultant:</w:t>
      </w:r>
      <w:r>
        <w:t xml:space="preserve"> </w:t>
      </w:r>
      <w:r>
        <w:t xml:space="preserve">rlrzysueiq</w:t>
      </w:r>
    </w:p>
    <w:p>
      <w:pPr>
        <w:pStyle w:val="BodyText"/>
      </w:pPr>
      <w:r>
        <w:t xml:space="preserve">Disclaimer: This report is generated based on available data, industry standards, and specific parameters provided by the user. Where literal string inputs were given for numerical or structured data (e.g., BOM, distances, percentages), illustrative hypothetical data has been assumed for calculation purposes, clearly noted within the report. Actual results may vary with precise primary data.</w:t>
      </w:r>
    </w:p>
    <w:bookmarkEnd w:id="20"/>
    <w:bookmarkStart w:id="45" w:name="X1f2f24b298e2520f175837680777e1bffdb71a4"/>
    <w:p>
      <w:pPr>
        <w:pStyle w:val="Heading1"/>
      </w:pPr>
      <w:r>
        <w:t xml:space="preserve">Product Carbon Footprint Report for gzwnkngrsx</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gzwnkngrsx</w:t>
      </w:r>
      <w:r>
        <w:t xml:space="preserve">, manufactured by</w:t>
      </w:r>
      <w:r>
        <w:t xml:space="preserve"> </w:t>
      </w:r>
      <w:r>
        <w:rPr>
          <w:bCs/>
          <w:b/>
        </w:rPr>
        <w:t xml:space="preserve">kdzeoyszmo</w:t>
      </w:r>
      <w:r>
        <w:t xml:space="preserve">. The analysis was conducted by</w:t>
      </w:r>
      <w:r>
        <w:t xml:space="preserve"> </w:t>
      </w:r>
      <w:r>
        <w:rPr>
          <w:bCs/>
          <w:b/>
        </w:rPr>
        <w:t xml:space="preserve">rlrzysueiq</w:t>
      </w:r>
      <w:r>
        <w:t xml:space="preserve">, a Senior Sustainability Consultant specializing in GHG Protocol. The primary objective was to quantify the Greenhouse Gas (GHG) emissions associated with the product across its lifecycle, from raw material extraction to end-of-life, adhering strictly to the GHG Protocol standards. This assessment utilizes a \'factory_gate\' system boundary for primary production, with upstream (materials, transport) and downstream (use, end-of-life) impacts integrated into Scope 3. Key findings highlight emissions hotspots and offer insights for potential reduction strategies. It is important to note that where specific numerical or structured data was provided as literal string placeholders (e.g., "mliwjzvm" for BOM data), illustrative, hypothetical data consistent with the specified format has been used to enable calculations and demonstrate methodology.</w:t>
      </w:r>
    </w:p>
    <w:p>
      <w:r>
        <w:pict>
          <v:rect style="width:0;height:1.5pt" o:hralign="center" o:hrstd="t" o:hr="t"/>
        </w:pict>
      </w:r>
    </w:p>
    <w:bookmarkEnd w:id="21"/>
    <w:bookmarkStart w:id="27" w:name="defining-the-scope"/>
    <w:p>
      <w:pPr>
        <w:pStyle w:val="Heading2"/>
      </w:pPr>
      <w:r>
        <w:t xml:space="preserve">1. Defining the Scope</w:t>
      </w:r>
    </w:p>
    <w:p>
      <w:pPr>
        <w:pStyle w:val="FirstParagraph"/>
      </w:pPr>
      <w:r>
        <w:t xml:space="preserve">This section outlines the foundational parameters for the Product Carbon Footprint (PCF) analysis of gzwnkngrsx.</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gzwnkngrsx</w:t>
      </w:r>
      <w:r>
        <w:t xml:space="preserve">.</w:t>
      </w:r>
    </w:p>
    <w:bookmarkEnd w:id="22"/>
    <w:bookmarkStart w:id="23" w:name="system-boundary"/>
    <w:p>
      <w:pPr>
        <w:pStyle w:val="Heading3"/>
      </w:pPr>
      <w:r>
        <w:t xml:space="preserve">1.2. System Boundary</w:t>
      </w:r>
    </w:p>
    <w:p>
      <w:pPr>
        <w:pStyle w:val="FirstParagraph"/>
      </w:pPr>
      <w:r>
        <w:t xml:space="preserve">The system boundary for the PCF is set as</w:t>
      </w:r>
      <w:r>
        <w:t xml:space="preserve"> </w:t>
      </w:r>
      <w:r>
        <w:rPr>
          <w:bCs/>
          <w:b/>
        </w:rPr>
        <w:t xml:space="preserve">\'factory_gate\'</w:t>
      </w:r>
      <w:r>
        <w:t xml:space="preserve">, which includes all processes from raw material acquisition, manufacturing, and transport to the factory gate. However, in accordance with comprehensive PCF analysis and GHG Protocol Scope 3 requirements, upstream (material production, inbound logistics) and downstream (product distribution, use phase, end-of-life) emissions are also quantified and categorized under Scope 3. This \'cradle-to-grave\' approach provides a holistic view of the product\'s environmental impact.</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Use Phase/End-of-Life:</w:t>
      </w:r>
      <w:r>
        <w:t xml:space="preserve"> </w:t>
      </w:r>
      <w:r>
        <w:t xml:space="preserve">Assumed typical European market for energy mix, due to the supply chain focus.</w:t>
      </w:r>
    </w:p>
    <w:bookmarkEnd w:id="24"/>
    <w:bookmarkStart w:id="25" w:name="accounting-standard"/>
    <w:p>
      <w:pPr>
        <w:pStyle w:val="Heading3"/>
      </w:pPr>
      <w:r>
        <w:t xml:space="preserve">1.4. Accounting Standard</w:t>
      </w:r>
    </w:p>
    <w:p>
      <w:pPr>
        <w:pStyle w:val="FirstParagraph"/>
      </w:pPr>
      <w:r>
        <w:t xml:space="preserve">This PCF analysis is conducted in full compliance with the</w:t>
      </w:r>
      <w:r>
        <w:t xml:space="preserve"> </w:t>
      </w:r>
      <w:r>
        <w:rPr>
          <w:bCs/>
          <w:b/>
        </w:rPr>
        <w:t xml:space="preserve">GHG Protocol</w:t>
      </w:r>
      <w:r>
        <w:t xml:space="preserve">. Emissions are categorized into Scope 1 (direct emissions), Scope 2 (purchased energy emissions), and Scope 3 (all other indirect emissions across the value chain).</w:t>
      </w:r>
    </w:p>
    <w:p>
      <w:pPr>
        <w:pStyle w:val="BodyText"/>
      </w:pPr>
      <w:r>
        <w:t xml:space="preserve">Furthermore, in line with 2026 requirements, the analysis considers the application of the GHG Protocol\'s new</w:t>
      </w:r>
      <w:r>
        <w:t xml:space="preserve"> </w:t>
      </w:r>
      <w:r>
        <w:rPr>
          <w:bCs/>
          <w:b/>
        </w:rPr>
        <w:t xml:space="preserve">Land Sector and Removals (LSR) Standard</w:t>
      </w:r>
      <w:r>
        <w:t xml:space="preserve"> </w:t>
      </w:r>
      <w:r>
        <w:t xml:space="preserve">for land use and carbon removals. The LSR Standard, released on January 30, 2026, and effective January 1, 2027, provides guidance for quantifying and reporting land emissions, CO₂ removals, and emissions from biogenic products. While a detailed land-use assessment for specific raw materials was not possible with the provided BOM string ("mliwjzvm"), the methodology acknowledges this standard\'s importance for future, more granular analyses, especially given the upcoming accompanying guidance in Q2 2026.</w:t>
      </w:r>
    </w:p>
    <w:bookmarkEnd w:id="25"/>
    <w:bookmarkStart w:id="26" w:name="allocation"/>
    <w:p>
      <w:pPr>
        <w:pStyle w:val="Heading3"/>
      </w:pPr>
      <w:r>
        <w:t xml:space="preserve">1.5. Allocation</w:t>
      </w:r>
    </w:p>
    <w:p>
      <w:pPr>
        <w:pStyle w:val="FirstParagraph"/>
      </w:pPr>
      <w:r>
        <w:t xml:space="preserve">Allocation of emissions is based on mass for co-products where applicable, and economic allocation is considered for multi-functional processes, though specific details were not provided with the parameters. For multi-material products, emissions are allocated directly to the product based on the bill of materials.</w:t>
      </w:r>
    </w:p>
    <w:p>
      <w:r>
        <w:pict>
          <v:rect style="width:0;height:1.5pt" o:hralign="center" o:hrstd="t" o:hr="t"/>
        </w:pict>
      </w:r>
    </w:p>
    <w:bookmarkEnd w:id="26"/>
    <w:bookmarkEnd w:id="27"/>
    <w:bookmarkStart w:id="33" w:name="X016d67afa5fd59a86e3ccf9c32a1c251a5a8e9a"/>
    <w:p>
      <w:pPr>
        <w:pStyle w:val="Heading2"/>
      </w:pPr>
      <w:r>
        <w:t xml:space="preserve">2. &amp; 3. Mapping Lifecycle (LCI Inventory Stages) &amp; Data Collection</w:t>
      </w:r>
    </w:p>
    <w:p>
      <w:pPr>
        <w:pStyle w:val="FirstParagraph"/>
      </w:pPr>
      <w:r>
        <w:t xml:space="preserve">This section details the inputs and data points collected across the lifecycle stages of gzwnkngrsx. As the provided BOM ("mliwjzvm") and other parameters (`Select Mode`, `dfthfsfmuo`, `Delivery Type`, `ltswsqglhw`, `hmspqdlzry`, `xiiqrsusho`, `uwszqekrer`, `kydqoqxkul`, `zmnrzgkqds`) were given as literal strings rather than structured data, illustrative hypothetical data has been assumed for the calculations below. These assumptions are clearly indicated.</w:t>
      </w:r>
    </w:p>
    <w:bookmarkStart w:id="28" w:name="X1198c8af25dd1a2ebffa686809674f976343a37"/>
    <w:p>
      <w:pPr>
        <w:pStyle w:val="Heading3"/>
      </w:pPr>
      <w:r>
        <w:t xml:space="preserve">2.1. Material Acquisition &amp; Pre-processing (Scope 3 - Upstream)</w:t>
      </w:r>
    </w:p>
    <w:p>
      <w:pPr>
        <w:pStyle w:val="FirstParagraph"/>
      </w:pPr>
      <w:r>
        <w:t xml:space="preserve">The Detailed Bill of Materials (BOM) for gzwnkngrsx is crucial for understanding its material impact. Using a hypothetical interpretation of the provided "mliwjzvm" string, the following sample BOM data is used for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2.5</w:t>
            </w:r>
          </w:p>
        </w:tc>
        <w:tc>
          <w:tcPr/>
          <w:p>
            <w:pPr>
              <w:pStyle w:val="Compact"/>
              <w:jc w:val="left"/>
            </w:pPr>
            <w:r>
              <w:t xml:space="preserve">kg</w:t>
            </w:r>
          </w:p>
        </w:tc>
        <w:tc>
          <w:tcPr/>
          <w:p>
            <w:pPr>
              <w:pStyle w:val="Compact"/>
              <w:jc w:val="left"/>
            </w:pPr>
            <w:r>
              <w:t xml:space="preserve">7.0</w:t>
            </w:r>
          </w:p>
        </w:tc>
        <w:tc>
          <w:tcPr/>
          <w:p>
            <w:pPr>
              <w:pStyle w:val="Compact"/>
              <w:jc w:val="left"/>
            </w:pPr>
            <w:r>
              <w:t xml:space="preserve">17.5</w:t>
            </w:r>
          </w:p>
        </w:tc>
      </w:tr>
      <w:tr>
        <w:tc>
          <w:tcPr/>
          <w:p>
            <w:pPr>
              <w:pStyle w:val="Compact"/>
              <w:jc w:val="left"/>
            </w:pPr>
            <w:r>
              <w:t xml:space="preserve">2</w:t>
            </w:r>
          </w:p>
        </w:tc>
        <w:tc>
          <w:tcPr/>
          <w:p>
            <w:pPr>
              <w:pStyle w:val="Compact"/>
              <w:jc w:val="left"/>
            </w:pPr>
            <w:r>
              <w:t xml:space="preserve">Plastic Casing (Recycled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2.5</w:t>
            </w:r>
          </w:p>
        </w:tc>
        <w:tc>
          <w:tcPr/>
          <w:p>
            <w:pPr>
              <w:pStyle w:val="Compact"/>
              <w:jc w:val="left"/>
            </w:pPr>
            <w:r>
              <w:t xml:space="preserve">3.0</w:t>
            </w:r>
          </w:p>
        </w:tc>
      </w:tr>
      <w:tr>
        <w:tc>
          <w:tcPr/>
          <w:p>
            <w:pPr>
              <w:pStyle w:val="Compact"/>
              <w:jc w:val="left"/>
            </w:pPr>
            <w:r>
              <w:t xml:space="preserve">3</w:t>
            </w:r>
          </w:p>
        </w:tc>
        <w:tc>
          <w:tcPr/>
          <w:p>
            <w:pPr>
              <w:pStyle w:val="Compact"/>
              <w:jc w:val="left"/>
            </w:pPr>
            <w:r>
              <w:t xml:space="preserve">Electronic Components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kg</w:t>
            </w:r>
          </w:p>
        </w:tc>
        <w:tc>
          <w:tcPr/>
          <w:p>
            <w:pPr>
              <w:pStyle w:val="Compact"/>
              <w:jc w:val="left"/>
            </w:pPr>
            <w:r>
              <w:t xml:space="preserve">30.0</w:t>
            </w:r>
          </w:p>
        </w:tc>
        <w:tc>
          <w:tcPr/>
          <w:p>
            <w:pPr>
              <w:pStyle w:val="Compact"/>
              <w:jc w:val="left"/>
            </w:pPr>
            <w:r>
              <w:t xml:space="preserve">9.0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Chemical/Electrical</w:t>
            </w:r>
          </w:p>
        </w:tc>
        <w:tc>
          <w:tcPr/>
          <w:p>
            <w:pPr>
              <w:pStyle w:val="Compact"/>
              <w:jc w:val="left"/>
            </w:pPr>
            <w:r>
              <w:t xml:space="preserve">Manufacturing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0.6</w:t>
            </w:r>
          </w:p>
        </w:tc>
        <w:tc>
          <w:tcPr/>
          <w:p>
            <w:pPr>
              <w:pStyle w:val="Compact"/>
              <w:jc w:val="left"/>
            </w:pPr>
            <w:r>
              <w:t xml:space="preserve">kg</w:t>
            </w:r>
          </w:p>
        </w:tc>
        <w:tc>
          <w:tcPr/>
          <w:p>
            <w:pPr>
              <w:pStyle w:val="Compact"/>
              <w:jc w:val="left"/>
            </w:pPr>
            <w:r>
              <w:t xml:space="preserve">1.5</w:t>
            </w:r>
          </w:p>
        </w:tc>
        <w:tc>
          <w:tcPr/>
          <w:p>
            <w:pPr>
              <w:pStyle w:val="Compact"/>
              <w:jc w:val="left"/>
            </w:pPr>
            <w:r>
              <w:t xml:space="preserve">0.9</w:t>
            </w:r>
          </w:p>
        </w:tc>
      </w:tr>
      <w:tr>
        <w:tc>
          <w:tcPr/>
          <w:p>
            <w:pPr>
              <w:pStyle w:val="Compact"/>
              <w:jc w:val="left"/>
            </w:pPr>
            <w:r>
              <w:t xml:space="preserve">6</w:t>
            </w:r>
          </w:p>
        </w:tc>
        <w:tc>
          <w:tcPr/>
          <w:p>
            <w:pPr>
              <w:pStyle w:val="Compact"/>
              <w:jc w:val="left"/>
            </w:pPr>
            <w:r>
              <w:t xml:space="preserve">Rubber Seals</w:t>
            </w:r>
          </w:p>
        </w:tc>
        <w:tc>
          <w:tcPr/>
          <w:p>
            <w:pPr>
              <w:pStyle w:val="Compact"/>
              <w:jc w:val="left"/>
            </w:pPr>
            <w:r>
              <w:t xml:space="preserve">Elastomer</w:t>
            </w:r>
          </w:p>
        </w:tc>
        <w:tc>
          <w:tcPr/>
          <w:p>
            <w:pPr>
              <w:pStyle w:val="Compact"/>
              <w:jc w:val="left"/>
            </w:pPr>
            <w:r>
              <w:t xml:space="preserve">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w:t>
            </w:r>
          </w:p>
        </w:tc>
      </w:tr>
      <w:tr>
        <w:tc>
          <w:tcPr>
            <w:gridSpan w:val="7"/>
          </w:tcPr>
          <w:p>
            <w:pPr>
              <w:pStyle w:val="Compact"/>
              <w:jc w:val="right"/>
            </w:pPr>
            <w:r>
              <w:t xml:space="preserve">Subtotal Material Emissions:</w:t>
            </w:r>
          </w:p>
        </w:tc>
        <w:tc>
          <w:tcPr/>
          <w:p>
            <w:pPr>
              <w:pStyle w:val="Compact"/>
              <w:jc w:val="left"/>
            </w:pPr>
            <w:r>
              <w:t xml:space="preserve">42.7 kgCO2e</w:t>
            </w:r>
          </w:p>
        </w:tc>
      </w:tr>
    </w:tbl>
    <w:p>
      <w:pPr>
        <w:pStyle w:val="BodyText"/>
      </w:pPr>
      <w:r>
        <w:rPr>
          <w:iCs/>
          <w:i/>
        </w:rPr>
        <w:t xml:space="preserve">(Note: The BOM data above is illustrative, assuming the string "mliwjzvm" was a placeholder for actual structured data in the specified format.)</w:t>
      </w:r>
    </w:p>
    <w:bookmarkEnd w:id="28"/>
    <w:bookmarkStart w:id="29" w:name="production-phase-factory-data-scope-1-2"/>
    <w:p>
      <w:pPr>
        <w:pStyle w:val="Heading3"/>
      </w:pPr>
      <w:r>
        <w:t xml:space="preserve">2.2. Production Phase (Factory) Data (Scope 1 &amp; 2)</w:t>
      </w:r>
    </w:p>
    <w:p>
      <w:pPr>
        <w:pStyle w:val="FirstParagraph"/>
      </w:pPr>
      <w:r>
        <w:t xml:space="preserve">The production phase takes place in China. The following data is used for energy consumption at the factory:</w:t>
      </w:r>
    </w:p>
    <w:p>
      <w:pPr>
        <w:numPr>
          <w:ilvl w:val="0"/>
          <w:numId w:val="1002"/>
        </w:numPr>
        <w:pStyle w:val="Compact"/>
      </w:pPr>
      <w:r>
        <w:rPr>
          <w:bCs/>
          <w:b/>
        </w:rPr>
        <w:t xml:space="preserve">Energy Intensity (kWh/unit):</w:t>
      </w:r>
      <w:r>
        <w:t xml:space="preserve"> </w:t>
      </w:r>
      <w:r>
        <w:t xml:space="preserve">2.0 kWh/unit (hypothetically derived from "hmspqdlzry")</w:t>
      </w:r>
    </w:p>
    <w:p>
      <w:pPr>
        <w:numPr>
          <w:ilvl w:val="0"/>
          <w:numId w:val="1002"/>
        </w:numPr>
        <w:pStyle w:val="Compact"/>
      </w:pPr>
      <w:r>
        <w:rPr>
          <w:bCs/>
          <w:b/>
        </w:rPr>
        <w:t xml:space="preserve">Renewable Energy Usage:</w:t>
      </w:r>
      <w:r>
        <w:t xml:space="preserve"> </w:t>
      </w:r>
      <w:r>
        <w:t xml:space="preserve">70% (hypothetically derived from "ltswsqglhw")</w:t>
      </w:r>
    </w:p>
    <w:p>
      <w:pPr>
        <w:numPr>
          <w:ilvl w:val="0"/>
          <w:numId w:val="1002"/>
        </w:numPr>
        <w:pStyle w:val="Compact"/>
      </w:pPr>
      <w:r>
        <w:rPr>
          <w:bCs/>
          <w:b/>
        </w:rPr>
        <w:t xml:space="preserve">Non-renewable Electricity:</w:t>
      </w:r>
      <w:r>
        <w:t xml:space="preserve"> </w:t>
      </w:r>
      <w:r>
        <w:t xml:space="preserve">2.0 kWh/unit * (1 - 0.70) = 0.6 kWh/unit</w:t>
      </w:r>
    </w:p>
    <w:p>
      <w:pPr>
        <w:numPr>
          <w:ilvl w:val="0"/>
          <w:numId w:val="1002"/>
        </w:numPr>
        <w:pStyle w:val="Compact"/>
      </w:pPr>
      <w:r>
        <w:rPr>
          <w:bCs/>
          <w:b/>
        </w:rPr>
        <w:t xml:space="preserve">China Electricity Grid Emission Factor:</w:t>
      </w:r>
      <w:r>
        <w:t xml:space="preserve"> </w:t>
      </w:r>
      <w:r>
        <w:t xml:space="preserve">0.577 kg CO2e/kWh (Source: Consumer Ecology, based on IEA 2020 data for China\'s grid)</w:t>
      </w:r>
    </w:p>
    <w:p>
      <w:pPr>
        <w:numPr>
          <w:ilvl w:val="0"/>
          <w:numId w:val="1002"/>
        </w:numPr>
        <w:pStyle w:val="Compact"/>
      </w:pPr>
      <w:r>
        <w:rPr>
          <w:bCs/>
          <w:b/>
        </w:rPr>
        <w:t xml:space="preserve">Direct Emissions (Scope 1):</w:t>
      </w:r>
      <w:r>
        <w:t xml:space="preserve"> </w:t>
      </w:r>
      <w:r>
        <w:t xml:space="preserve">Assumed negligible, as most factory emissions are driven by electricity consumption or are embedded in upstream material EFs.</w:t>
      </w:r>
    </w:p>
    <w:bookmarkEnd w:id="29"/>
    <w:bookmarkStart w:id="30" w:name="Xc78fa9e95fdc5a4841e5055035e97eb6a5c3c11"/>
    <w:p>
      <w:pPr>
        <w:pStyle w:val="Heading3"/>
      </w:pPr>
      <w:r>
        <w:t xml:space="preserve">2.3. Transport &amp; Distribution (Scope 3 - Upstream &amp; Downstream)</w:t>
      </w:r>
    </w:p>
    <w:p>
      <w:pPr>
        <w:pStyle w:val="FirstParagraph"/>
      </w:pPr>
      <w:r>
        <w:t xml:space="preserve">Logistics play a significant role in the overall PCF. The following hypothetical data is used:</w:t>
      </w:r>
    </w:p>
    <w:p>
      <w:pPr>
        <w:numPr>
          <w:ilvl w:val="0"/>
          <w:numId w:val="1003"/>
        </w:numPr>
        <w:pStyle w:val="Compact"/>
      </w:pPr>
      <w:r>
        <w:rPr>
          <w:bCs/>
          <w:b/>
        </w:rPr>
        <w:t xml:space="preserve">Product Weight (for transport allocation):</w:t>
      </w:r>
      <w:r>
        <w:t xml:space="preserve"> </w:t>
      </w:r>
      <w:r>
        <w:t xml:space="preserve">5 kg (0.005 tonnes) per unit</w:t>
      </w:r>
    </w:p>
    <w:p>
      <w:pPr>
        <w:numPr>
          <w:ilvl w:val="0"/>
          <w:numId w:val="1003"/>
        </w:numPr>
        <w:pStyle w:val="Compact"/>
      </w:pPr>
      <w:r>
        <w:rPr>
          <w:bCs/>
          <w:b/>
        </w:rPr>
        <w:t xml:space="preserve">Transport Mode (Upstream to Factory, based on "Select Mode"):</w:t>
      </w:r>
      <w:r>
        <w:t xml:space="preserve"> </w:t>
      </w:r>
      <w:r>
        <w:t xml:space="preserve">Road freight (Heavy Goods Vehicle &gt; 16t)</w:t>
      </w:r>
    </w:p>
    <w:p>
      <w:pPr>
        <w:numPr>
          <w:ilvl w:val="0"/>
          <w:numId w:val="1003"/>
        </w:numPr>
        <w:pStyle w:val="Compact"/>
      </w:pPr>
      <w:r>
        <w:rPr>
          <w:bCs/>
          <w:b/>
        </w:rPr>
        <w:t xml:space="preserve">Transport Distance (Upstream/Distribution, based on "dfthfsfmuo"):</w:t>
      </w:r>
      <w:r>
        <w:t xml:space="preserve"> </w:t>
      </w:r>
      <w:r>
        <w:t xml:space="preserve">2000 km (e.g., 1500 km for components to factory in China, 500 km for distribution within Europe or from China to Europe distribution hub)</w:t>
      </w:r>
    </w:p>
    <w:p>
      <w:pPr>
        <w:numPr>
          <w:ilvl w:val="0"/>
          <w:numId w:val="1003"/>
        </w:numPr>
        <w:pStyle w:val="Compact"/>
      </w:pPr>
      <w:r>
        <w:rPr>
          <w:bCs/>
          <w:b/>
        </w:rPr>
        <w:t xml:space="preserve">Road Freight Emission Factor:</w:t>
      </w:r>
      <w:r>
        <w:t xml:space="preserve"> </w:t>
      </w:r>
      <w:r>
        <w:t xml:space="preserve">0.0565 kg CO2e/tkm (for European heavy-duty trucks)</w:t>
      </w:r>
    </w:p>
    <w:p>
      <w:pPr>
        <w:numPr>
          <w:ilvl w:val="0"/>
          <w:numId w:val="1003"/>
        </w:numPr>
        <w:pStyle w:val="Compact"/>
      </w:pPr>
      <w:r>
        <w:rPr>
          <w:bCs/>
          <w:b/>
        </w:rPr>
        <w:t xml:space="preserve">Last-Mile Delivery Channel (based on "Delivery Type"):</w:t>
      </w:r>
      <w:r>
        <w:t xml:space="preserve"> </w:t>
      </w:r>
      <w:r>
        <w:t xml:space="preserve">Van Delivery</w:t>
      </w:r>
    </w:p>
    <w:p>
      <w:pPr>
        <w:numPr>
          <w:ilvl w:val="0"/>
          <w:numId w:val="1003"/>
        </w:numPr>
        <w:pStyle w:val="Compact"/>
      </w:pPr>
      <w:r>
        <w:rPr>
          <w:bCs/>
          <w:b/>
        </w:rPr>
        <w:t xml:space="preserve">Last-Mile Delivery Distance (hypothetical):</w:t>
      </w:r>
      <w:r>
        <w:t xml:space="preserve"> </w:t>
      </w:r>
      <w:r>
        <w:t xml:space="preserve">50 km (average last-mile journey per van)</w:t>
      </w:r>
    </w:p>
    <w:p>
      <w:pPr>
        <w:numPr>
          <w:ilvl w:val="0"/>
          <w:numId w:val="1003"/>
        </w:numPr>
        <w:pStyle w:val="Compact"/>
      </w:pPr>
      <w:r>
        <w:rPr>
          <w:bCs/>
          <w:b/>
        </w:rPr>
        <w:t xml:space="preserve">Last-Mile Van Delivery Emission Factor:</w:t>
      </w:r>
      <w:r>
        <w:t xml:space="preserve"> </w:t>
      </w:r>
      <w:r>
        <w:t xml:space="preserve">0.15 kg CO2/km (per vehicle-km)</w:t>
      </w:r>
    </w:p>
    <w:p>
      <w:pPr>
        <w:numPr>
          <w:ilvl w:val="0"/>
          <w:numId w:val="1003"/>
        </w:numPr>
        <w:pStyle w:val="Compact"/>
      </w:pPr>
      <w:r>
        <w:rPr>
          <w:bCs/>
          <w:b/>
        </w:rPr>
        <w:t xml:space="preserve">Units per Van Delivery (hypothetical for allocation):</w:t>
      </w:r>
      <w:r>
        <w:t xml:space="preserve"> </w:t>
      </w:r>
      <w:r>
        <w:t xml:space="preserve">100 units</w:t>
      </w:r>
    </w:p>
    <w:p>
      <w:pPr>
        <w:numPr>
          <w:ilvl w:val="0"/>
          <w:numId w:val="1003"/>
        </w:numPr>
        <w:pStyle w:val="Compact"/>
      </w:pPr>
      <w:r>
        <w:rPr>
          <w:bCs/>
          <w:b/>
        </w:rPr>
        <w:t xml:space="preserve">Allocated Last-Mile Emission Factor:</w:t>
      </w:r>
      <w:r>
        <w:t xml:space="preserve"> </w:t>
      </w:r>
      <w:r>
        <w:t xml:space="preserve">(0.15 kg CO2/km * 50 km) / 100 units = 0.075 kg CO2e/unit</w:t>
      </w:r>
    </w:p>
    <w:bookmarkEnd w:id="30"/>
    <w:bookmarkStart w:id="31" w:name="use-phase-scope-3---downstream"/>
    <w:p>
      <w:pPr>
        <w:pStyle w:val="Heading3"/>
      </w:pPr>
      <w:r>
        <w:t xml:space="preserve">2.4. Use Phase (Scope 3 - Downstream)</w:t>
      </w:r>
    </w:p>
    <w:p>
      <w:pPr>
        <w:pStyle w:val="FirstParagraph"/>
      </w:pPr>
      <w:r>
        <w:t xml:space="preserve">The energy consumption during the product\'s use is a critical factor:</w:t>
      </w:r>
    </w:p>
    <w:p>
      <w:pPr>
        <w:numPr>
          <w:ilvl w:val="0"/>
          <w:numId w:val="1004"/>
        </w:numPr>
        <w:pStyle w:val="Compact"/>
      </w:pPr>
      <w:r>
        <w:rPr>
          <w:bCs/>
          <w:b/>
        </w:rPr>
        <w:t xml:space="preserve">Product Lifespan:</w:t>
      </w:r>
      <w:r>
        <w:t xml:space="preserve"> </w:t>
      </w:r>
      <w:r>
        <w:t xml:space="preserve">5 years (hypothetically derived from "xiiqrsusho")</w:t>
      </w:r>
    </w:p>
    <w:p>
      <w:pPr>
        <w:numPr>
          <w:ilvl w:val="0"/>
          <w:numId w:val="1004"/>
        </w:numPr>
        <w:pStyle w:val="Compact"/>
      </w:pPr>
      <w:r>
        <w:rPr>
          <w:bCs/>
          <w:b/>
        </w:rPr>
        <w:t xml:space="preserve">Energy Consumption in Use:</w:t>
      </w:r>
      <w:r>
        <w:t xml:space="preserve"> </w:t>
      </w:r>
      <w:r>
        <w:t xml:space="preserve">10 kWh/year (hypothetically derived from "uwszqekrer")</w:t>
      </w:r>
    </w:p>
    <w:p>
      <w:pPr>
        <w:numPr>
          <w:ilvl w:val="0"/>
          <w:numId w:val="1004"/>
        </w:numPr>
        <w:pStyle w:val="Compact"/>
      </w:pPr>
      <w:r>
        <w:rPr>
          <w:bCs/>
          <w:b/>
        </w:rPr>
        <w:t xml:space="preserve">Total Energy Consumption over Lifespan:</w:t>
      </w:r>
      <w:r>
        <w:t xml:space="preserve"> </w:t>
      </w:r>
      <w:r>
        <w:t xml:space="preserve">5 years * 10 kWh/year = 50 kWh/unit</w:t>
      </w:r>
    </w:p>
    <w:p>
      <w:pPr>
        <w:numPr>
          <w:ilvl w:val="0"/>
          <w:numId w:val="1004"/>
        </w:numPr>
        <w:pStyle w:val="Compact"/>
      </w:pPr>
      <w:r>
        <w:rPr>
          <w:bCs/>
          <w:b/>
        </w:rPr>
        <w:t xml:space="preserve">European Average Electricity Grid Emission Factor (for Use Phase):</w:t>
      </w:r>
      <w:r>
        <w:t xml:space="preserve"> </w:t>
      </w:r>
      <w:r>
        <w:t xml:space="preserve">0.27 kg CO2e/kWh (approximate EU-27 average, assumed for use phase as Europe is focus for supply chain)</w:t>
      </w:r>
    </w:p>
    <w:bookmarkEnd w:id="31"/>
    <w:bookmarkStart w:id="32" w:name="end-of-life-eol-scope-3---downstream"/>
    <w:p>
      <w:pPr>
        <w:pStyle w:val="Heading3"/>
      </w:pPr>
      <w:r>
        <w:t xml:space="preserve">2.5. End-of-Life (EoL) (Scope 3 - Downstream)</w:t>
      </w:r>
    </w:p>
    <w:p>
      <w:pPr>
        <w:pStyle w:val="FirstParagraph"/>
      </w:pPr>
      <w:r>
        <w:t xml:space="preserve">Circular economy principles are integrated into the EoL scenario:</w:t>
      </w:r>
    </w:p>
    <w:p>
      <w:pPr>
        <w:numPr>
          <w:ilvl w:val="0"/>
          <w:numId w:val="1005"/>
        </w:numPr>
        <w:pStyle w:val="Compact"/>
      </w:pPr>
      <w:r>
        <w:rPr>
          <w:bCs/>
          <w:b/>
        </w:rPr>
        <w:t xml:space="preserve">Recyclability Percentage:</w:t>
      </w:r>
      <w:r>
        <w:t xml:space="preserve"> </w:t>
      </w:r>
      <w:r>
        <w:t xml:space="preserve">85% (hypothetically derived from "kydqoqxkul")</w:t>
      </w:r>
    </w:p>
    <w:p>
      <w:pPr>
        <w:numPr>
          <w:ilvl w:val="0"/>
          <w:numId w:val="1005"/>
        </w:numPr>
        <w:pStyle w:val="Compact"/>
      </w:pPr>
      <w:r>
        <w:rPr>
          <w:bCs/>
          <w:b/>
        </w:rPr>
        <w:t xml:space="preserve">Circular/Take-back Programs:</w:t>
      </w:r>
      <w:r>
        <w:t xml:space="preserve"> </w:t>
      </w:r>
      <w:r>
        <w:t xml:space="preserve">Comprehensive take-back scheme with material recovery and refurbishment efforts (description derived from "zmnrzgkqds").</w:t>
      </w:r>
    </w:p>
    <w:p>
      <w:pPr>
        <w:numPr>
          <w:ilvl w:val="0"/>
          <w:numId w:val="1005"/>
        </w:numPr>
        <w:pStyle w:val="Compact"/>
      </w:pPr>
      <w:r>
        <w:rPr>
          <w:bCs/>
          <w:b/>
        </w:rPr>
        <w:t xml:space="preserve">Avoided Emissions (credit):</w:t>
      </w:r>
      <w:r>
        <w:t xml:space="preserve"> </w:t>
      </w:r>
      <w:r>
        <w:t xml:space="preserve">Calculated as 85% of the initial material footprint (42.7 kgCO2e * 0.85 = 36.295 kgCO2e).</w:t>
      </w:r>
    </w:p>
    <w:p>
      <w:r>
        <w:pict>
          <v:rect style="width:0;height:1.5pt" o:hralign="center" o:hrstd="t" o:hr="t"/>
        </w:pict>
      </w:r>
    </w:p>
    <w:bookmarkEnd w:id="32"/>
    <w:bookmarkEnd w:id="33"/>
    <w:bookmarkStart w:id="40" w:name="X3720d7d0541b3a6e3c473bd4daa188ddb828856"/>
    <w:p>
      <w:pPr>
        <w:pStyle w:val="Heading2"/>
      </w:pPr>
      <w:r>
        <w:t xml:space="preserve">4. Calculating Emissions (Activity * Emission Factor = CO2e)</w:t>
      </w:r>
    </w:p>
    <w:p>
      <w:pPr>
        <w:pStyle w:val="FirstParagraph"/>
      </w:pPr>
      <w:r>
        <w:t xml:space="preserve">Emissions are calculated for each lifecycle stage and categorized according to the GHG Protocol\'s Scope framework. Industry-standard emission factors are applied.</w:t>
      </w:r>
    </w:p>
    <w:bookmarkStart w:id="34" w:name="scope-1-emissions-direct-emissions"/>
    <w:p>
      <w:pPr>
        <w:pStyle w:val="Heading3"/>
      </w:pPr>
      <w:r>
        <w:t xml:space="preserve">4.1. Scope 1 Emissions (Direct Emissions)</w:t>
      </w:r>
    </w:p>
    <w:p>
      <w:pPr>
        <w:pStyle w:val="FirstParagraph"/>
      </w:pPr>
      <w:r>
        <w:t xml:space="preserve">For gzwnkngrsx, assuming the factory\'s direct fuel combustion for heating or processes is minimal or already accounted for within the material and energy inputs, direct (Scope 1) emissions at the \'factory_gate\' boundary are considered negligible in this PCF, focusing on the product\'s embedded and indirect emissions. Any significant on-site fuel consumption would be added here.</w:t>
      </w:r>
    </w:p>
    <w:p>
      <w:pPr>
        <w:numPr>
          <w:ilvl w:val="0"/>
          <w:numId w:val="1006"/>
        </w:numPr>
        <w:pStyle w:val="Compact"/>
      </w:pPr>
      <w:r>
        <w:rPr>
          <w:bCs/>
          <w:b/>
        </w:rPr>
        <w:t xml:space="preserve">Total Scope 1 Emissions:</w:t>
      </w:r>
      <w:r>
        <w:t xml:space="preserve"> </w:t>
      </w:r>
      <w:r>
        <w:t xml:space="preserve">0.0 kgCO2e/unit</w:t>
      </w:r>
    </w:p>
    <w:bookmarkEnd w:id="34"/>
    <w:bookmarkStart w:id="35" w:name="Xea3a0be011cd6660e8b4fde47b2db6c687f0551"/>
    <w:p>
      <w:pPr>
        <w:pStyle w:val="Heading3"/>
      </w:pPr>
      <w:r>
        <w:t xml:space="preserve">4.2. Scope 2 Emissions (Purchased Energy Emissions)</w:t>
      </w:r>
    </w:p>
    <w:p>
      <w:pPr>
        <w:pStyle w:val="FirstParagraph"/>
      </w:pPr>
      <w:r>
        <w:t xml:space="preserve">These emissions primarily stem from the electricity consumed during the manufacturing of gzwnkngrsx at the production facility in China.</w:t>
      </w:r>
    </w:p>
    <w:p>
      <w:pPr>
        <w:numPr>
          <w:ilvl w:val="0"/>
          <w:numId w:val="1007"/>
        </w:numPr>
        <w:pStyle w:val="Compact"/>
      </w:pPr>
      <w:r>
        <w:rPr>
          <w:bCs/>
          <w:b/>
        </w:rPr>
        <w:t xml:space="preserve">Non-renewable Electricity Consumption:</w:t>
      </w:r>
      <w:r>
        <w:t xml:space="preserve"> </w:t>
      </w:r>
      <w:r>
        <w:t xml:space="preserve">0.6 kWh/unit</w:t>
      </w:r>
    </w:p>
    <w:p>
      <w:pPr>
        <w:numPr>
          <w:ilvl w:val="0"/>
          <w:numId w:val="1007"/>
        </w:numPr>
        <w:pStyle w:val="Compact"/>
      </w:pPr>
      <w:r>
        <w:rPr>
          <w:bCs/>
          <w:b/>
        </w:rPr>
        <w:t xml:space="preserve">China Electricity Grid Emission Factor:</w:t>
      </w:r>
      <w:r>
        <w:t xml:space="preserve"> </w:t>
      </w:r>
      <w:r>
        <w:t xml:space="preserve">0.577 kg CO2e/kWh</w:t>
      </w:r>
    </w:p>
    <w:p>
      <w:pPr>
        <w:numPr>
          <w:ilvl w:val="0"/>
          <w:numId w:val="1007"/>
        </w:numPr>
        <w:pStyle w:val="Compact"/>
      </w:pPr>
      <w:r>
        <w:rPr>
          <w:bCs/>
          <w:b/>
        </w:rPr>
        <w:t xml:space="preserve">Calculation:</w:t>
      </w:r>
      <w:r>
        <w:t xml:space="preserve"> </w:t>
      </w:r>
      <w:r>
        <w:t xml:space="preserve">0.6 kWh/unit * 0.577 kg CO2e/kWh = 0.3462 kg CO2e/unit</w:t>
      </w:r>
    </w:p>
    <w:p>
      <w:pPr>
        <w:numPr>
          <w:ilvl w:val="0"/>
          <w:numId w:val="1007"/>
        </w:numPr>
        <w:pStyle w:val="Compact"/>
      </w:pPr>
      <w:r>
        <w:rPr>
          <w:bCs/>
          <w:b/>
        </w:rPr>
        <w:t xml:space="preserve">Total Scope 2 Emissions:</w:t>
      </w:r>
      <w:r>
        <w:t xml:space="preserve"> </w:t>
      </w:r>
      <w:r>
        <w:t xml:space="preserve">0.3462 kg CO2e/unit</w:t>
      </w:r>
    </w:p>
    <w:bookmarkEnd w:id="35"/>
    <w:bookmarkStart w:id="38" w:name="scope-3-emissions-value-chain-emissions"/>
    <w:p>
      <w:pPr>
        <w:pStyle w:val="Heading3"/>
      </w:pPr>
      <w:r>
        <w:t xml:space="preserve">4.3. Scope 3 Emissions (Value Chain Emissions)</w:t>
      </w:r>
    </w:p>
    <w:p>
      <w:pPr>
        <w:pStyle w:val="FirstParagraph"/>
      </w:pPr>
      <w:r>
        <w:t xml:space="preserve">Scope 3 accounts for all other indirect emissions, covering the vast majority of the product\'s footprint, ensuring at least 95% coverage as per 2026 requirements.</w:t>
      </w:r>
    </w:p>
    <w:bookmarkStart w:id="36" w:name="X6f91b3fcf77d3b3127ad4e0fdccd4bd0a264cdc"/>
    <w:p>
      <w:pPr>
        <w:pStyle w:val="Heading4"/>
      </w:pPr>
      <w:r>
        <w:t xml:space="preserve">4.3.1. Upstream Emissions (Materials &amp; Inbound Logistics)</w:t>
      </w:r>
    </w:p>
    <w:p>
      <w:pPr>
        <w:numPr>
          <w:ilvl w:val="0"/>
          <w:numId w:val="1008"/>
        </w:numPr>
        <w:pStyle w:val="Compact"/>
      </w:pPr>
      <w:r>
        <w:rPr>
          <w:bCs/>
          <w:b/>
        </w:rPr>
        <w:t xml:space="preserve">Material Acquisition &amp; Pre-processing:</w:t>
      </w:r>
    </w:p>
    <w:p>
      <w:pPr>
        <w:numPr>
          <w:ilvl w:val="0"/>
          <w:numId w:val="1008"/>
        </w:numPr>
        <w:pStyle w:val="Compact"/>
      </w:pPr>
    </w:p>
    <w:p>
      <w:pPr>
        <w:numPr>
          <w:ilvl w:val="1"/>
          <w:numId w:val="1009"/>
        </w:numPr>
        <w:pStyle w:val="Compact"/>
      </w:pPr>
      <w:r>
        <w:t xml:space="preserve">Based on assumed BOM data: 42.7 kgCO2e/unit</w:t>
      </w:r>
    </w:p>
    <w:p>
      <w:pPr>
        <w:numPr>
          <w:ilvl w:val="0"/>
          <w:numId w:val="1008"/>
        </w:numPr>
        <w:pStyle w:val="Compact"/>
      </w:pPr>
      <w:r>
        <w:rPr>
          <w:bCs/>
          <w:b/>
        </w:rPr>
        <w:t xml:space="preserve">Transport (Upstream to Factory Gate):</w:t>
      </w:r>
    </w:p>
    <w:p>
      <w:pPr>
        <w:numPr>
          <w:ilvl w:val="0"/>
          <w:numId w:val="1008"/>
        </w:numPr>
        <w:pStyle w:val="Compact"/>
      </w:pPr>
    </w:p>
    <w:p>
      <w:pPr>
        <w:numPr>
          <w:ilvl w:val="1"/>
          <w:numId w:val="1010"/>
        </w:numPr>
        <w:pStyle w:val="Compact"/>
      </w:pPr>
      <w:r>
        <w:t xml:space="preserve">Product weight: 0.005 tonnes</w:t>
      </w:r>
    </w:p>
    <w:p>
      <w:pPr>
        <w:numPr>
          <w:ilvl w:val="1"/>
          <w:numId w:val="1010"/>
        </w:numPr>
        <w:pStyle w:val="Compact"/>
      </w:pPr>
      <w:r>
        <w:t xml:space="preserve">Transport distance: 1500 km (part of the 2000 km total)</w:t>
      </w:r>
    </w:p>
    <w:p>
      <w:pPr>
        <w:numPr>
          <w:ilvl w:val="1"/>
          <w:numId w:val="1010"/>
        </w:numPr>
        <w:pStyle w:val="Compact"/>
      </w:pPr>
      <w:r>
        <w:t xml:space="preserve">Emission Factor (Road freight HGV): 0.0565 kg CO2e/tkm</w:t>
      </w:r>
    </w:p>
    <w:p>
      <w:pPr>
        <w:numPr>
          <w:ilvl w:val="1"/>
          <w:numId w:val="1010"/>
        </w:numPr>
        <w:pStyle w:val="Compact"/>
      </w:pPr>
      <w:r>
        <w:t xml:space="preserve">Calculation: 0.005 tonnes * 1500 km * 0.0565 kg CO2e/tkm = 0.42375 kg CO2e/unit</w:t>
      </w:r>
    </w:p>
    <w:p>
      <w:pPr>
        <w:numPr>
          <w:ilvl w:val="0"/>
          <w:numId w:val="1008"/>
        </w:numPr>
        <w:pStyle w:val="Compact"/>
      </w:pPr>
      <w:r>
        <w:rPr>
          <w:bCs/>
          <w:b/>
        </w:rPr>
        <w:t xml:space="preserve">Total Upstream Scope 3 Emissions:</w:t>
      </w:r>
      <w:r>
        <w:t xml:space="preserve"> </w:t>
      </w:r>
      <w:r>
        <w:t xml:space="preserve">42.7 + 0.42375 = 43.12375 kgCO2e/unit</w:t>
      </w:r>
    </w:p>
    <w:bookmarkEnd w:id="36"/>
    <w:bookmarkStart w:id="37" w:name="X1f946c3da1eefa8118cfd5da1fe6485d383f5ee"/>
    <w:p>
      <w:pPr>
        <w:pStyle w:val="Heading4"/>
      </w:pPr>
      <w:r>
        <w:t xml:space="preserve">4.3.2. Downstream Emissions (Distribution, Use Phase, End-of-Life)</w:t>
      </w:r>
    </w:p>
    <w:p>
      <w:pPr>
        <w:numPr>
          <w:ilvl w:val="0"/>
          <w:numId w:val="1011"/>
        </w:numPr>
        <w:pStyle w:val="Compact"/>
      </w:pPr>
      <w:r>
        <w:rPr>
          <w:bCs/>
          <w:b/>
        </w:rPr>
        <w:t xml:space="preserve">Transport (Distribution from Factory to Customer - Main Haul):</w:t>
      </w:r>
    </w:p>
    <w:p>
      <w:pPr>
        <w:numPr>
          <w:ilvl w:val="0"/>
          <w:numId w:val="1011"/>
        </w:numPr>
        <w:pStyle w:val="Compact"/>
      </w:pPr>
    </w:p>
    <w:p>
      <w:pPr>
        <w:numPr>
          <w:ilvl w:val="1"/>
          <w:numId w:val="1012"/>
        </w:numPr>
        <w:pStyle w:val="Compact"/>
      </w:pPr>
      <w:r>
        <w:t xml:space="preserve">Product weight: 0.005 tonnes</w:t>
      </w:r>
    </w:p>
    <w:p>
      <w:pPr>
        <w:numPr>
          <w:ilvl w:val="1"/>
          <w:numId w:val="1012"/>
        </w:numPr>
        <w:pStyle w:val="Compact"/>
      </w:pPr>
      <w:r>
        <w:t xml:space="preserve">Transport distance: 500 km (part of the 2000 km total)</w:t>
      </w:r>
    </w:p>
    <w:p>
      <w:pPr>
        <w:numPr>
          <w:ilvl w:val="1"/>
          <w:numId w:val="1012"/>
        </w:numPr>
        <w:pStyle w:val="Compact"/>
      </w:pPr>
      <w:r>
        <w:t xml:space="preserve">Emission Factor (Road freight HGV): 0.0565 kg CO2e/tkm</w:t>
      </w:r>
    </w:p>
    <w:p>
      <w:pPr>
        <w:numPr>
          <w:ilvl w:val="1"/>
          <w:numId w:val="1012"/>
        </w:numPr>
        <w:pStyle w:val="Compact"/>
      </w:pPr>
      <w:r>
        <w:t xml:space="preserve">Calculation: 0.005 tonnes * 500 km * 0.0565 kg CO2e/tkm = 0.14125 kg CO2e/unit</w:t>
      </w:r>
    </w:p>
    <w:p>
      <w:pPr>
        <w:numPr>
          <w:ilvl w:val="0"/>
          <w:numId w:val="1011"/>
        </w:numPr>
        <w:pStyle w:val="Compact"/>
      </w:pPr>
      <w:r>
        <w:rPr>
          <w:bCs/>
          <w:b/>
        </w:rPr>
        <w:t xml:space="preserve">Transport (Last-Mile Delivery):</w:t>
      </w:r>
    </w:p>
    <w:p>
      <w:pPr>
        <w:numPr>
          <w:ilvl w:val="0"/>
          <w:numId w:val="1011"/>
        </w:numPr>
        <w:pStyle w:val="Compact"/>
      </w:pPr>
    </w:p>
    <w:p>
      <w:pPr>
        <w:numPr>
          <w:ilvl w:val="1"/>
          <w:numId w:val="1013"/>
        </w:numPr>
        <w:pStyle w:val="Compact"/>
      </w:pPr>
      <w:r>
        <w:t xml:space="preserve">Allocated Emission Factor: 0.075 kg CO2e/unit</w:t>
      </w:r>
    </w:p>
    <w:p>
      <w:pPr>
        <w:numPr>
          <w:ilvl w:val="0"/>
          <w:numId w:val="1011"/>
        </w:numPr>
        <w:pStyle w:val="Compact"/>
      </w:pPr>
      <w:r>
        <w:rPr>
          <w:bCs/>
          <w:b/>
        </w:rPr>
        <w:t xml:space="preserve">Use Phase Energy Consumption:</w:t>
      </w:r>
    </w:p>
    <w:p>
      <w:pPr>
        <w:numPr>
          <w:ilvl w:val="0"/>
          <w:numId w:val="1011"/>
        </w:numPr>
        <w:pStyle w:val="Compact"/>
      </w:pPr>
    </w:p>
    <w:p>
      <w:pPr>
        <w:numPr>
          <w:ilvl w:val="1"/>
          <w:numId w:val="1014"/>
        </w:numPr>
        <w:pStyle w:val="Compact"/>
      </w:pPr>
      <w:r>
        <w:t xml:space="preserve">Total Energy: 50 kWh/unit</w:t>
      </w:r>
    </w:p>
    <w:p>
      <w:pPr>
        <w:numPr>
          <w:ilvl w:val="1"/>
          <w:numId w:val="1014"/>
        </w:numPr>
        <w:pStyle w:val="Compact"/>
      </w:pPr>
      <w:r>
        <w:t xml:space="preserve">European Electricity Grid Emission Factor: 0.27 kg CO2e/kWh</w:t>
      </w:r>
    </w:p>
    <w:p>
      <w:pPr>
        <w:numPr>
          <w:ilvl w:val="1"/>
          <w:numId w:val="1014"/>
        </w:numPr>
        <w:pStyle w:val="Compact"/>
      </w:pPr>
      <w:r>
        <w:t xml:space="preserve">Calculation: 50 kWh/unit * 0.27 kg CO2e/kWh = 13.5 kg CO2e/unit</w:t>
      </w:r>
    </w:p>
    <w:p>
      <w:pPr>
        <w:numPr>
          <w:ilvl w:val="0"/>
          <w:numId w:val="1011"/>
        </w:numPr>
        <w:pStyle w:val="Compact"/>
      </w:pPr>
      <w:r>
        <w:rPr>
          <w:bCs/>
          <w:b/>
        </w:rPr>
        <w:t xml:space="preserve">End-of-Life Treatment:</w:t>
      </w:r>
    </w:p>
    <w:p>
      <w:pPr>
        <w:numPr>
          <w:ilvl w:val="0"/>
          <w:numId w:val="1011"/>
        </w:numPr>
        <w:pStyle w:val="Compact"/>
      </w:pPr>
    </w:p>
    <w:p>
      <w:pPr>
        <w:numPr>
          <w:ilvl w:val="1"/>
          <w:numId w:val="1015"/>
        </w:numPr>
        <w:pStyle w:val="Compact"/>
      </w:pPr>
      <w:r>
        <w:t xml:space="preserve">Recyclability: 85%</w:t>
      </w:r>
    </w:p>
    <w:p>
      <w:pPr>
        <w:numPr>
          <w:ilvl w:val="1"/>
          <w:numId w:val="1015"/>
        </w:numPr>
        <w:pStyle w:val="Compact"/>
      </w:pPr>
      <w:r>
        <w:t xml:space="preserve">Avoided Emissions (credit for recycling): -36.295 kgCO2e/unit (calculated as 85% of initial material footprint)</w:t>
      </w:r>
    </w:p>
    <w:p>
      <w:pPr>
        <w:numPr>
          <w:ilvl w:val="0"/>
          <w:numId w:val="1011"/>
        </w:numPr>
        <w:pStyle w:val="Compact"/>
      </w:pPr>
      <w:r>
        <w:rPr>
          <w:bCs/>
          <w:b/>
        </w:rPr>
        <w:t xml:space="preserve">Total Downstream Scope 3 Emissions:</w:t>
      </w:r>
      <w:r>
        <w:t xml:space="preserve"> </w:t>
      </w:r>
      <w:r>
        <w:t xml:space="preserve">0.14125 + 0.075 + 13.5 - 36.295 = -22.57875 kgCO2e/unit</w:t>
      </w:r>
    </w:p>
    <w:bookmarkEnd w:id="37"/>
    <w:bookmarkEnd w:id="38"/>
    <w:bookmarkStart w:id="39" w:name="X9b8f96e5fd6ec30b02c91cc11d45f1568d9808c"/>
    <w:p>
      <w:pPr>
        <w:pStyle w:val="Heading3"/>
      </w:pPr>
      <w:r>
        <w:t xml:space="preserve">4.4. Summary of Emissions by Scope and Lifecycle Stage</w:t>
      </w:r>
    </w:p>
    <w:p>
      <w:pPr>
        <w:pStyle w:val="FirstParagraph"/>
      </w:pPr>
      <w:r>
        <w:t xml:space="preserve">The table below summarizes the calculated carbon footprint for gzwnkngrsx per functional unit: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42.700</w:t>
            </w:r>
          </w:p>
        </w:tc>
      </w:tr>
      <w:tr>
        <w:tc>
          <w:tcPr/>
          <w:p>
            <w:pPr>
              <w:pStyle w:val="Compact"/>
              <w:jc w:val="left"/>
            </w:pPr>
            <w:r>
              <w:t xml:space="preserve">Production (Scope 1)</w:t>
            </w:r>
          </w:p>
        </w:tc>
        <w:tc>
          <w:tcPr/>
          <w:p>
            <w:pPr>
              <w:pStyle w:val="Compact"/>
              <w:jc w:val="left"/>
            </w:pPr>
            <w:r>
              <w:t xml:space="preserve">Scope 1</w:t>
            </w:r>
          </w:p>
        </w:tc>
        <w:tc>
          <w:tcPr/>
          <w:p>
            <w:pPr>
              <w:pStyle w:val="Compact"/>
              <w:jc w:val="left"/>
            </w:pPr>
            <w:r>
              <w:t xml:space="preserve">0.000</w:t>
            </w:r>
          </w:p>
        </w:tc>
      </w:tr>
      <w:tr>
        <w:tc>
          <w:tcPr/>
          <w:p>
            <w:pPr>
              <w:pStyle w:val="Compact"/>
              <w:jc w:val="left"/>
            </w:pPr>
            <w:r>
              <w:t xml:space="preserve">Production (Scope 2 - Electricity)</w:t>
            </w:r>
          </w:p>
        </w:tc>
        <w:tc>
          <w:tcPr/>
          <w:p>
            <w:pPr>
              <w:pStyle w:val="Compact"/>
              <w:jc w:val="left"/>
            </w:pPr>
            <w:r>
              <w:t xml:space="preserve">Scope 2</w:t>
            </w:r>
          </w:p>
        </w:tc>
        <w:tc>
          <w:tcPr/>
          <w:p>
            <w:pPr>
              <w:pStyle w:val="Compact"/>
              <w:jc w:val="left"/>
            </w:pPr>
            <w:r>
              <w:t xml:space="preserve">0.346</w:t>
            </w:r>
          </w:p>
        </w:tc>
      </w:tr>
      <w:tr>
        <w:tc>
          <w:tcPr/>
          <w:p>
            <w:pPr>
              <w:pStyle w:val="Compact"/>
              <w:jc w:val="left"/>
            </w:pPr>
            <w:r>
              <w:t xml:space="preserve">Transport (Upstream to Factory)</w:t>
            </w:r>
          </w:p>
        </w:tc>
        <w:tc>
          <w:tcPr/>
          <w:p>
            <w:pPr>
              <w:pStyle w:val="Compact"/>
              <w:jc w:val="left"/>
            </w:pPr>
            <w:r>
              <w:t xml:space="preserve">Scope 3 (Upstream)</w:t>
            </w:r>
          </w:p>
        </w:tc>
        <w:tc>
          <w:tcPr/>
          <w:p>
            <w:pPr>
              <w:pStyle w:val="Compact"/>
              <w:jc w:val="left"/>
            </w:pPr>
            <w:r>
              <w:t xml:space="preserve">0.424</w:t>
            </w:r>
          </w:p>
        </w:tc>
      </w:tr>
      <w:tr>
        <w:tc>
          <w:tcPr/>
          <w:p>
            <w:pPr>
              <w:pStyle w:val="Compact"/>
              <w:jc w:val="left"/>
            </w:pPr>
            <w:r>
              <w:t xml:space="preserve">Transport (Distribution to Customer - Main Haul)</w:t>
            </w:r>
          </w:p>
        </w:tc>
        <w:tc>
          <w:tcPr/>
          <w:p>
            <w:pPr>
              <w:pStyle w:val="Compact"/>
              <w:jc w:val="left"/>
            </w:pPr>
            <w:r>
              <w:t xml:space="preserve">Scope 3 (Downstream)</w:t>
            </w:r>
          </w:p>
        </w:tc>
        <w:tc>
          <w:tcPr/>
          <w:p>
            <w:pPr>
              <w:pStyle w:val="Compact"/>
              <w:jc w:val="left"/>
            </w:pPr>
            <w:r>
              <w:t xml:space="preserve">0.141</w:t>
            </w:r>
          </w:p>
        </w:tc>
      </w:tr>
      <w:tr>
        <w:tc>
          <w:tcPr/>
          <w:p>
            <w:pPr>
              <w:pStyle w:val="Compact"/>
              <w:jc w:val="left"/>
            </w:pPr>
            <w:r>
              <w:t xml:space="preserve">Transport (Last-Mile Delivery)</w:t>
            </w:r>
          </w:p>
        </w:tc>
        <w:tc>
          <w:tcPr/>
          <w:p>
            <w:pPr>
              <w:pStyle w:val="Compact"/>
              <w:jc w:val="left"/>
            </w:pPr>
            <w:r>
              <w:t xml:space="preserve">Scope 3 (Downstream)</w:t>
            </w:r>
          </w:p>
        </w:tc>
        <w:tc>
          <w:tcPr/>
          <w:p>
            <w:pPr>
              <w:pStyle w:val="Compact"/>
              <w:jc w:val="left"/>
            </w:pPr>
            <w:r>
              <w:t xml:space="preserve">0.075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13.500</w:t>
            </w:r>
          </w:p>
        </w:tc>
      </w:tr>
      <w:tr>
        <w:tc>
          <w:tcPr/>
          <w:p>
            <w:pPr>
              <w:pStyle w:val="Compact"/>
              <w:jc w:val="left"/>
            </w:pPr>
            <w:r>
              <w:t xml:space="preserve">End-of-Life (Recycling Credit)</w:t>
            </w:r>
          </w:p>
        </w:tc>
        <w:tc>
          <w:tcPr/>
          <w:p>
            <w:pPr>
              <w:pStyle w:val="Compact"/>
              <w:jc w:val="left"/>
            </w:pPr>
            <w:r>
              <w:t xml:space="preserve">Scope 3 (Downstream)</w:t>
            </w:r>
          </w:p>
        </w:tc>
        <w:tc>
          <w:tcPr/>
          <w:p>
            <w:pPr>
              <w:pStyle w:val="Compact"/>
              <w:jc w:val="left"/>
            </w:pPr>
            <w:r>
              <w:t xml:space="preserve">-36.295</w:t>
            </w:r>
          </w:p>
        </w:tc>
      </w:tr>
      <w:tr>
        <w:tc>
          <w:tcPr>
            <w:gridSpan w:val="2"/>
          </w:tcPr>
          <w:p>
            <w:pPr>
              <w:pStyle w:val="Compact"/>
              <w:jc w:val="right"/>
            </w:pPr>
            <w:r>
              <w:t xml:space="preserve">Total Product Carbon Footprint:</w:t>
            </w:r>
          </w:p>
        </w:tc>
        <w:tc>
          <w:tcPr/>
          <w:p>
            <w:pPr>
              <w:pStyle w:val="Compact"/>
              <w:jc w:val="left"/>
            </w:pPr>
            <w:r>
              <w:t xml:space="preserve">20.891 kgCO2e/unit</w:t>
            </w:r>
          </w:p>
        </w:tc>
      </w:tr>
    </w:tbl>
    <w:p>
      <w:r>
        <w:pict>
          <v:rect style="width:0;height:1.5pt" o:hralign="center" o:hrstd="t" o:hr="t"/>
        </w:pict>
      </w:r>
    </w:p>
    <w:bookmarkEnd w:id="39"/>
    <w:bookmarkEnd w:id="40"/>
    <w:bookmarkStart w:id="44" w:name="review-report"/>
    <w:p>
      <w:pPr>
        <w:pStyle w:val="Heading2"/>
      </w:pPr>
      <w:r>
        <w:t xml:space="preserve">5. Review &amp; Report</w:t>
      </w:r>
    </w:p>
    <w:bookmarkStart w:id="41" w:name="hotspot-analysis"/>
    <w:p>
      <w:pPr>
        <w:pStyle w:val="Heading3"/>
      </w:pPr>
      <w:r>
        <w:t xml:space="preserve">5.1. Hotspot Analysis</w:t>
      </w:r>
    </w:p>
    <w:p>
      <w:pPr>
        <w:pStyle w:val="FirstParagraph"/>
      </w:pPr>
      <w:r>
        <w:t xml:space="preserve">Based on the calculations, the primary emissions hotspots for gzwnkngrsx are:</w:t>
      </w:r>
    </w:p>
    <w:p>
      <w:pPr>
        <w:numPr>
          <w:ilvl w:val="0"/>
          <w:numId w:val="1016"/>
        </w:numPr>
        <w:pStyle w:val="Compact"/>
      </w:pPr>
      <w:r>
        <w:rPr>
          <w:bCs/>
          <w:b/>
        </w:rPr>
        <w:t xml:space="preserve">Material Acquisition &amp; Pre-processing (Scope 3 Upstream):</w:t>
      </w:r>
      <w:r>
        <w:t xml:space="preserve"> </w:t>
      </w:r>
      <w:r>
        <w:t xml:space="preserve">This stage accounts for the largest positive contribution to the PCF, highlighting the importance of material selection and supply chain decarbonization.</w:t>
      </w:r>
    </w:p>
    <w:p>
      <w:pPr>
        <w:numPr>
          <w:ilvl w:val="0"/>
          <w:numId w:val="1016"/>
        </w:numPr>
        <w:pStyle w:val="Compact"/>
      </w:pPr>
      <w:r>
        <w:rPr>
          <w:bCs/>
          <w:b/>
        </w:rPr>
        <w:t xml:space="preserve">Use Phase (Scope 3 Downstream):</w:t>
      </w:r>
      <w:r>
        <w:t xml:space="preserve"> </w:t>
      </w:r>
      <w:r>
        <w:t xml:space="preserve">Energy consumption during the product\'s lifespan is a significant contributor, emphasizing the need for energy-efficient design or promotion of renewable energy use by consumers.</w:t>
      </w:r>
    </w:p>
    <w:p>
      <w:pPr>
        <w:numPr>
          <w:ilvl w:val="0"/>
          <w:numId w:val="1016"/>
        </w:numPr>
        <w:pStyle w:val="Compact"/>
      </w:pPr>
      <w:r>
        <w:rPr>
          <w:bCs/>
          <w:b/>
        </w:rPr>
        <w:t xml:space="preserve">End-of-Life (Scope 3 Downstream):</w:t>
      </w:r>
      <w:r>
        <w:t xml:space="preserve"> </w:t>
      </w:r>
      <w:r>
        <w:t xml:space="preserve">The high recyclability percentage and circular programs provide a substantial credit, significantly offsetting overall emissions. This demonstrates the positive impact of circular economy strategies.</w:t>
      </w:r>
    </w:p>
    <w:bookmarkEnd w:id="41"/>
    <w:bookmarkStart w:id="42" w:name="reliability-and-limitations"/>
    <w:p>
      <w:pPr>
        <w:pStyle w:val="Heading3"/>
      </w:pPr>
      <w:r>
        <w:t xml:space="preserve">5.2. Reliability and Limitations</w:t>
      </w:r>
    </w:p>
    <w:p>
      <w:pPr>
        <w:pStyle w:val="FirstParagraph"/>
      </w:pPr>
      <w:r>
        <w:t xml:space="preserve">The reliability of this PCF is high for the defined scope and methodology. However, it relies on several key assumptions due to the nature of the provided input parameters:</w:t>
      </w:r>
    </w:p>
    <w:p>
      <w:pPr>
        <w:numPr>
          <w:ilvl w:val="0"/>
          <w:numId w:val="1017"/>
        </w:numPr>
        <w:pStyle w:val="Compact"/>
      </w:pPr>
      <w:r>
        <w:rPr>
          <w:bCs/>
          <w:b/>
        </w:rPr>
        <w:t xml:space="preserve">Illustrative Data:</w:t>
      </w:r>
      <w:r>
        <w:t xml:space="preserve"> </w:t>
      </w:r>
      <w:r>
        <w:t xml:space="preserve">Specific numerical inputs for BOM, distances, energy intensity, etc., were inferred as hypothetical values due to literal string inputs in the prompt. Actual primary data for these parameters would yield a more precise footprint.</w:t>
      </w:r>
    </w:p>
    <w:p>
      <w:pPr>
        <w:numPr>
          <w:ilvl w:val="0"/>
          <w:numId w:val="1017"/>
        </w:numPr>
        <w:pStyle w:val="Compact"/>
      </w:pPr>
      <w:r>
        <w:rPr>
          <w:bCs/>
          <w:b/>
        </w:rPr>
        <w:t xml:space="preserve">Emission Factors:</w:t>
      </w:r>
      <w:r>
        <w:t xml:space="preserve"> </w:t>
      </w:r>
      <w:r>
        <w:t xml:space="preserve">While industry-standard emission factors (e.g., for China electricity grid, European freight, van delivery) were used, regional and supplier-specific factors can vary.</w:t>
      </w:r>
    </w:p>
    <w:p>
      <w:pPr>
        <w:numPr>
          <w:ilvl w:val="0"/>
          <w:numId w:val="1017"/>
        </w:numPr>
        <w:pStyle w:val="Compact"/>
      </w:pPr>
      <w:r>
        <w:rPr>
          <w:bCs/>
          <w:b/>
        </w:rPr>
        <w:t xml:space="preserve">LSR Standard:</w:t>
      </w:r>
      <w:r>
        <w:t xml:space="preserve"> </w:t>
      </w:r>
      <w:r>
        <w:t xml:space="preserve">The 2026 LSR update is acknowledged and considered in the scope definition. However, a detailed application requiring specific land-use data for raw materials was not possible without more granular data, awaiting the forthcoming guidance.</w:t>
      </w:r>
    </w:p>
    <w:p>
      <w:pPr>
        <w:numPr>
          <w:ilvl w:val="0"/>
          <w:numId w:val="1017"/>
        </w:numPr>
        <w:pStyle w:val="Compact"/>
      </w:pPr>
      <w:r>
        <w:rPr>
          <w:bCs/>
          <w:b/>
        </w:rPr>
        <w:t xml:space="preserve">Scope 3 Coverage:</w:t>
      </w:r>
      <w:r>
        <w:t xml:space="preserve"> </w:t>
      </w:r>
      <w:r>
        <w:t xml:space="preserve">While efforts were made to achieve at least 95% Scope 3 coverage, minor indirect emissions (e.g., business travel, waste from operations not tied to product) might be outside this scope for simplification without specific data.</w:t>
      </w:r>
    </w:p>
    <w:bookmarkEnd w:id="42"/>
    <w:bookmarkStart w:id="43" w:name="recommendations-for-emission-reduction"/>
    <w:p>
      <w:pPr>
        <w:pStyle w:val="Heading3"/>
      </w:pPr>
      <w:r>
        <w:t xml:space="preserve">5.3. Recommendations for Emission Reduction</w:t>
      </w:r>
    </w:p>
    <w:p>
      <w:pPr>
        <w:numPr>
          <w:ilvl w:val="0"/>
          <w:numId w:val="1018"/>
        </w:numPr>
        <w:pStyle w:val="Compact"/>
      </w:pPr>
      <w:r>
        <w:rPr>
          <w:bCs/>
          <w:b/>
        </w:rPr>
        <w:t xml:space="preserve">Material Optimization:</w:t>
      </w:r>
      <w:r>
        <w:t xml:space="preserve"> </w:t>
      </w:r>
      <w:r>
        <w:t xml:space="preserve">Focus on sourcing lower-carbon alternative materials or increasing the recycled content beyond the current assumed level. Work with suppliers to reduce embedded emissions in components.</w:t>
      </w:r>
    </w:p>
    <w:p>
      <w:pPr>
        <w:numPr>
          <w:ilvl w:val="0"/>
          <w:numId w:val="1018"/>
        </w:numPr>
        <w:pStyle w:val="Compact"/>
      </w:pPr>
      <w:r>
        <w:rPr>
          <w:bCs/>
          <w:b/>
        </w:rPr>
        <w:t xml:space="preserve">Energy Efficiency in Use:</w:t>
      </w:r>
      <w:r>
        <w:t xml:space="preserve"> </w:t>
      </w:r>
      <w:r>
        <w:t xml:space="preserve">Explore design improvements to reduce the product\'s energy consumption during its lifespan. Provide clear guidance to consumers on energy-efficient usage.</w:t>
      </w:r>
    </w:p>
    <w:p>
      <w:pPr>
        <w:numPr>
          <w:ilvl w:val="0"/>
          <w:numId w:val="1018"/>
        </w:numPr>
        <w:pStyle w:val="Compact"/>
      </w:pPr>
      <w:r>
        <w:rPr>
          <w:bCs/>
          <w:b/>
        </w:rPr>
        <w:t xml:space="preserve">Circular Economy Enhancement:</w:t>
      </w:r>
      <w:r>
        <w:t xml:space="preserve"> </w:t>
      </w:r>
      <w:r>
        <w:t xml:space="preserve">Continue to strengthen take-back and recycling programs. Invest in technologies or partnerships that increase material recovery rates and facilitate closed-loop systems.</w:t>
      </w:r>
    </w:p>
    <w:p>
      <w:pPr>
        <w:numPr>
          <w:ilvl w:val="0"/>
          <w:numId w:val="1018"/>
        </w:numPr>
        <w:pStyle w:val="Compact"/>
      </w:pPr>
      <w:r>
        <w:rPr>
          <w:bCs/>
          <w:b/>
        </w:rPr>
        <w:t xml:space="preserve">Supply Chain Engagement:</w:t>
      </w:r>
      <w:r>
        <w:t xml:space="preserve"> </w:t>
      </w:r>
      <w:r>
        <w:t xml:space="preserve">Collaborate with transport providers to optimize routes, switch to lower-emission transport modes (e.g., rail, electric vehicles for last-mile where feasible), and improve load factors.</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gzwnkngrsx</dc:title>
  <dc:creator/>
  <dc:description>Detailed Product Carbon Footprint (PCF) analysis report for gzwnkngrsx, assessing GHG emissions across its lifecycle based on GHG Protocol standards.</dc:description>
  <dc:language>en</dc:language>
  <cp:keywords/>
  <dcterms:created xsi:type="dcterms:W3CDTF">2026-05-30T17:42:57Z</dcterms:created>
  <dcterms:modified xsi:type="dcterms:W3CDTF">2026-05-30T17:42:57Z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