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gyydwijfkw</w:t>
      </w:r>
      <w:r>
        <w:t xml:space="preserve"> </w:t>
      </w:r>
      <w:r>
        <w:t xml:space="preserve">-</w:t>
      </w:r>
      <w:r>
        <w:t xml:space="preserve"> </w:t>
      </w:r>
      <w:r>
        <w:t xml:space="preserve">eonsfjnmiz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gyydwijfkw</w:t>
      </w:r>
    </w:p>
    <w:p>
      <w:pPr>
        <w:pStyle w:val="BodyText"/>
      </w:pPr>
      <w:r>
        <w:rPr>
          <w:bCs/>
          <w:b/>
        </w:rPr>
        <w:t xml:space="preserve">Company Name:</w:t>
      </w:r>
      <w:r>
        <w:t xml:space="preserve"> </w:t>
      </w:r>
      <w:r>
        <w:t xml:space="preserve">eonsfjnmiz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vdpqvuuxiy</w:t>
      </w:r>
    </w:p>
    <w:p>
      <w:pPr>
        <w:pStyle w:val="BodyText"/>
      </w:pPr>
      <w:r>
        <w:t xml:space="preserve">Disclaimer: This report is generated based on available data, industry standards, and reasonable assumptions for placeholder parameters. While every effort has been made to ensure accuracy, actual emissions may vary based on specific operational details and data precision.</w:t>
      </w:r>
    </w:p>
    <w:bookmarkEnd w:id="20"/>
    <w:p>
      <w:pPr>
        <w:pStyle w:val="BodyText"/>
      </w:pPr>
      <w:r>
        <w:t xml:space="preserve">Product Carbon Footprint Report - gyydwijfkw | Generated Date: May 28, 2026</w:t>
      </w:r>
    </w:p>
    <w:bookmarkStart w:id="53" w:name="X1feb8166ee31c388ddeb15a033232f27df610c8"/>
    <w:p>
      <w:pPr>
        <w:pStyle w:val="Heading1"/>
      </w:pPr>
      <w:r>
        <w:t xml:space="preserve">Product Carbon Footprint Analysis Report for gyydwijfkw</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\'gyydwijfkw\', produced by eonsfjnmiz, conducted by vdpqvuuxiy, Senior Sustainability Consultant. The analysis adheres to the Greenhouse Gas (GHG) Protocol standards, encompassing Scope 1, Scope 2, and Scope 3 emissions across the product\'s lifecycle. The total PCF for one functional unit of gyydwijfkw is estimated to be 8.67 kg CO2e. The use phase of the product represents the most significant hotspot, primarily due to electricity consumption over its lifespan.</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\'gyydwijfkw\' follows the five-step methodology as prescribed by the GHG Protocol. This comprehensive approach ensures systematic and transparent accounting of greenhouse gas emissions throughout the product\'s lifecycle.</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\'gyydwijfkw\'</w:t>
      </w:r>
      <w:r>
        <w:t xml:space="preserve">. All emissions are calculated and presented relative to this unit.</w:t>
      </w:r>
    </w:p>
    <w:bookmarkEnd w:id="22"/>
    <w:bookmarkStart w:id="23" w:name="system-boundary"/>
    <w:p>
      <w:pPr>
        <w:pStyle w:val="Heading3"/>
      </w:pPr>
      <w:r>
        <w:t xml:space="preserve">1.2. System Boundary</w:t>
      </w:r>
    </w:p>
    <w:p>
      <w:pPr>
        <w:pStyle w:val="FirstParagraph"/>
      </w:pPr>
      <w:r>
        <w:t xml:space="preserve">The system boundary for this PCF analysis is a \'cradle-to-grave\' assessment, extending from raw material acquisition through manufacturing, transport, use, and end-of-life treatment. While the specified</w:t>
      </w:r>
      <w:r>
        <w:t xml:space="preserve"> </w:t>
      </w:r>
      <w:r>
        <w:rPr>
          <w:iCs/>
          <w:i/>
        </w:rPr>
        <w:t xml:space="preserve">primary production boundary</w:t>
      </w:r>
      <w:r>
        <w:t xml:space="preserve"> </w:t>
      </w:r>
      <w:r>
        <w:t xml:space="preserve">is \'factory_gate\' (meaning operational emissions of eonsfjnmiz for production are captured up to the point the product leaves their facility), the overall PCF analysis includes downstream emissions (transport to customer, use phase, and end-of-life) to provide a holistic understanding of the product\'s environmental impact as requested by the provided parameters.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key material sourcing and product distribution)</w:t>
      </w:r>
    </w:p>
    <w:bookmarkEnd w:id="24"/>
    <w:bookmarkStart w:id="25"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w:t>
      </w:r>
      <w:r>
        <w:t xml:space="preserve"> </w:t>
      </w:r>
      <w:r>
        <w:t xml:space="preserve">Corporate Value Chain (Scope 3) Accounting and Reporting Standard, and the Product Life Cycle Accounting and Reporting Standard. Emissions are categorized into Scope 1 (direct emissions), Scope 2 (indirect emissions from purchased energy), and Scope 3 (all other indirect emissions across the value chain).</w:t>
      </w:r>
    </w:p>
    <w:p>
      <w:pPr>
        <w:pStyle w:val="BodyText"/>
      </w:pPr>
      <w:r>
        <w:t xml:space="preserve">Furthermore, this report applies the principles of the</w:t>
      </w:r>
      <w:r>
        <w:t xml:space="preserve"> </w:t>
      </w:r>
      <w:r>
        <w:rPr>
          <w:bCs/>
          <w:b/>
        </w:rPr>
        <w:t xml:space="preserve">2026 Land Sector and Removals (LSR) Standard Update</w:t>
      </w:r>
      <w:r>
        <w:t xml:space="preserve">. While direct land-use emissions are not a primary driver for this electronic product, the standard\'s focus on comprehensive accounting for land-based emissions and CO2 removals is acknowledged.</w:t>
      </w:r>
    </w:p>
    <w:p>
      <w:pPr>
        <w:pStyle w:val="BodyText"/>
      </w:pPr>
      <w:r>
        <w:t xml:space="preserve">In line with 2026 requirements, efforts have been made to ensure at least 95% coverage for Scope 3 reporting.</w:t>
      </w:r>
    </w:p>
    <w:bookmarkEnd w:id="25"/>
    <w:bookmarkStart w:id="26" w:name="allocation"/>
    <w:p>
      <w:pPr>
        <w:pStyle w:val="Heading3"/>
      </w:pPr>
      <w:r>
        <w:t xml:space="preserve">1.5. Allocation</w:t>
      </w:r>
    </w:p>
    <w:p>
      <w:pPr>
        <w:pStyle w:val="FirstParagraph"/>
      </w:pPr>
      <w:r>
        <w:t xml:space="preserve">Emissions are allocated to the functional unit based on mass for materials and activity data for energy and transport. For shared processes, economic allocation or physical allocation (e.g., mass-based) is applied where appropriate, consistent with GHG Protocol guidance.</w:t>
      </w:r>
    </w:p>
    <w:p>
      <w:r>
        <w:pict>
          <v:rect style="width:0;height:1.5pt" o:hralign="center" o:hrstd="t" o:hr="t"/>
        </w:pict>
      </w:r>
    </w:p>
    <w:bookmarkEnd w:id="26"/>
    <w:bookmarkEnd w:id="27"/>
    <w:bookmarkStart w:id="34" w:name="lifecycle-mapping-and-data-collection"/>
    <w:p>
      <w:pPr>
        <w:pStyle w:val="Heading2"/>
      </w:pPr>
      <w:r>
        <w:t xml:space="preserve">2. Lifecycle Mapping and Data Collection</w:t>
      </w:r>
    </w:p>
    <w:p>
      <w:pPr>
        <w:pStyle w:val="FirstParagraph"/>
      </w:pPr>
      <w:r>
        <w:t xml:space="preserve">The lifecycle of \'gyydwijfkw\' has been mapped into distinct stages, and relevant primary and secondary data points have been collected for each stage.</w:t>
      </w:r>
    </w:p>
    <w:bookmarkStart w:id="28" w:name="lifecycle-inventory-stages"/>
    <w:p>
      <w:pPr>
        <w:pStyle w:val="Heading3"/>
      </w:pPr>
      <w:r>
        <w:t xml:space="preserve">2.1. Lifecycle Inventory Stages</w:t>
      </w:r>
    </w:p>
    <w:p>
      <w:pPr>
        <w:numPr>
          <w:ilvl w:val="0"/>
          <w:numId w:val="1002"/>
        </w:numPr>
        <w:pStyle w:val="Compact"/>
      </w:pPr>
      <w:r>
        <w:rPr>
          <w:bCs/>
          <w:b/>
        </w:rPr>
        <w:t xml:space="preserve">Raw Material Acquisition &amp; Processing:</w:t>
      </w:r>
      <w:r>
        <w:t xml:space="preserve"> </w:t>
      </w:r>
      <w:r>
        <w:t xml:space="preserve">Extraction, processing, and refining of raw materials.</w:t>
      </w:r>
    </w:p>
    <w:p>
      <w:pPr>
        <w:numPr>
          <w:ilvl w:val="0"/>
          <w:numId w:val="1002"/>
        </w:numPr>
        <w:pStyle w:val="Compact"/>
      </w:pPr>
      <w:r>
        <w:rPr>
          <w:bCs/>
          <w:b/>
        </w:rPr>
        <w:t xml:space="preserve">Manufacturing:</w:t>
      </w:r>
      <w:r>
        <w:t xml:space="preserve"> </w:t>
      </w:r>
      <w:r>
        <w:t xml:space="preserve">Production and assembly processes at the eonsfjnmiz facility in China.</w:t>
      </w:r>
    </w:p>
    <w:p>
      <w:pPr>
        <w:numPr>
          <w:ilvl w:val="0"/>
          <w:numId w:val="1002"/>
        </w:numPr>
        <w:pStyle w:val="Compact"/>
      </w:pPr>
      <w:r>
        <w:rPr>
          <w:bCs/>
          <w:b/>
        </w:rPr>
        <w:t xml:space="preserve">Upstream Transportation &amp; Distribution:</w:t>
      </w:r>
      <w:r>
        <w:t xml:space="preserve"> </w:t>
      </w:r>
      <w:r>
        <w:t xml:space="preserve">Transport of raw materials and components from suppliers (primarily Europe-focused) to the manufacturing facility.</w:t>
      </w:r>
    </w:p>
    <w:p>
      <w:pPr>
        <w:numPr>
          <w:ilvl w:val="0"/>
          <w:numId w:val="1002"/>
        </w:numPr>
        <w:pStyle w:val="Compact"/>
      </w:pPr>
      <w:r>
        <w:rPr>
          <w:bCs/>
          <w:b/>
        </w:rPr>
        <w:t xml:space="preserve">Downstream Transportation &amp; Distribution:</w:t>
      </w:r>
      <w:r>
        <w:t xml:space="preserve"> </w:t>
      </w:r>
      <w:r>
        <w:t xml:space="preserve">Transport of the finished product from the factory gate to the end customer in Europe.</w:t>
      </w:r>
    </w:p>
    <w:p>
      <w:pPr>
        <w:numPr>
          <w:ilvl w:val="0"/>
          <w:numId w:val="1002"/>
        </w:numPr>
        <w:pStyle w:val="Compact"/>
      </w:pPr>
      <w:r>
        <w:rPr>
          <w:bCs/>
          <w:b/>
        </w:rPr>
        <w:t xml:space="preserve">Use Phase:</w:t>
      </w:r>
      <w:r>
        <w:t xml:space="preserve"> </w:t>
      </w:r>
      <w:r>
        <w:t xml:space="preserve">Energy consumption during the typical operational life of the product by the end-user.</w:t>
      </w:r>
    </w:p>
    <w:p>
      <w:pPr>
        <w:numPr>
          <w:ilvl w:val="0"/>
          <w:numId w:val="1002"/>
        </w:numPr>
        <w:pStyle w:val="Compact"/>
      </w:pPr>
      <w:r>
        <w:rPr>
          <w:bCs/>
          <w:b/>
        </w:rPr>
        <w:t xml:space="preserve">End-of-Life (EoL):</w:t>
      </w:r>
      <w:r>
        <w:t xml:space="preserve"> </w:t>
      </w:r>
      <w:r>
        <w:t xml:space="preserve">Disposal or recycling processes after the product\'s useful life.</w:t>
      </w:r>
    </w:p>
    <w:bookmarkEnd w:id="28"/>
    <w:bookmarkStart w:id="29" w:name="Xc7ed82696ee7e20c606dac3de0447aeb917f2a3"/>
    <w:p>
      <w:pPr>
        <w:pStyle w:val="Heading3"/>
      </w:pPr>
      <w:r>
        <w:t xml:space="preserve">2.2. Detailed Bill of Materials (BOM) - \'mruysqvm\'</w:t>
      </w:r>
    </w:p>
    <w:p>
      <w:pPr>
        <w:pStyle w:val="FirstParagraph"/>
      </w:pPr>
      <w:r>
        <w:t xml:space="preserve">The following detailed Bill of Materials (BOM) was used for high-accuracy material impact calculation, with emission factors representing cradle-to-gate impacts for the specified materials and processes.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3.5</w:t>
            </w:r>
          </w:p>
        </w:tc>
        <w:tc>
          <w:tcPr/>
          <w:p>
            <w:pPr>
              <w:pStyle w:val="Compact"/>
              <w:jc w:val="left"/>
            </w:pPr>
            <w:r>
              <w:t xml:space="preserve">0.175</w:t>
            </w:r>
          </w:p>
        </w:tc>
      </w:tr>
      <w:tr>
        <w:tc>
          <w:tcPr/>
          <w:p>
            <w:pPr>
              <w:pStyle w:val="Compact"/>
              <w:jc w:val="left"/>
            </w:pPr>
            <w:r>
              <w:t xml:space="preserve">M002</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25.0</w:t>
            </w:r>
          </w:p>
        </w:tc>
        <w:tc>
          <w:tcPr/>
          <w:p>
            <w:pPr>
              <w:pStyle w:val="Compact"/>
              <w:jc w:val="left"/>
            </w:pPr>
            <w:r>
              <w:t xml:space="preserve">0.250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5.0</w:t>
            </w:r>
          </w:p>
        </w:tc>
        <w:tc>
          <w:tcPr/>
          <w:p>
            <w:pPr>
              <w:pStyle w:val="Compact"/>
              <w:jc w:val="left"/>
            </w:pPr>
            <w:r>
              <w:t xml:space="preserve">0.025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0.03</w:t>
            </w:r>
          </w:p>
        </w:tc>
        <w:tc>
          <w:tcPr/>
          <w:p>
            <w:pPr>
              <w:pStyle w:val="Compact"/>
              <w:jc w:val="left"/>
            </w:pPr>
            <w:r>
              <w:t xml:space="preserve">1.2</w:t>
            </w:r>
          </w:p>
        </w:tc>
        <w:tc>
          <w:tcPr/>
          <w:p>
            <w:pPr>
              <w:pStyle w:val="Compact"/>
              <w:jc w:val="left"/>
            </w:pPr>
            <w:r>
              <w:t xml:space="preserve">0.036</w:t>
            </w:r>
          </w:p>
        </w:tc>
      </w:tr>
      <w:tr>
        <w:tc>
          <w:tcPr>
            <w:gridSpan w:val="5"/>
          </w:tcPr>
          <w:p>
            <w:pPr>
              <w:pStyle w:val="Compact"/>
              <w:jc w:val="left"/>
            </w:pPr>
            <w:r>
              <w:rPr>
                <w:bCs/>
                <w:b/>
              </w:rPr>
              <w:t xml:space="preserve">Total Material-Related Emissions (BOM)</w:t>
            </w:r>
          </w:p>
        </w:tc>
        <w:tc>
          <w:tcPr/>
          <w:p>
            <w:pPr>
              <w:pStyle w:val="Compact"/>
            </w:pPr>
          </w:p>
        </w:tc>
        <w:tc>
          <w:tcPr/>
          <w:p>
            <w:pPr>
              <w:pStyle w:val="Compact"/>
              <w:jc w:val="left"/>
            </w:pPr>
            <w:r>
              <w:rPr>
                <w:bCs/>
                <w:b/>
              </w:rPr>
              <w:t xml:space="preserve">0.786</w:t>
            </w:r>
          </w:p>
        </w:tc>
      </w:tr>
    </w:tbl>
    <w:bookmarkEnd w:id="29"/>
    <w:bookmarkStart w:id="30" w:name="energy-inputs-production-phase"/>
    <w:p>
      <w:pPr>
        <w:pStyle w:val="Heading3"/>
      </w:pPr>
      <w:r>
        <w:t xml:space="preserve">2.3. Energy Inputs (Production Phase)</w:t>
      </w:r>
    </w:p>
    <w:p>
      <w:pPr>
        <w:numPr>
          <w:ilvl w:val="0"/>
          <w:numId w:val="1003"/>
        </w:numPr>
        <w:pStyle w:val="Compact"/>
      </w:pPr>
      <w:r>
        <w:rPr>
          <w:bCs/>
          <w:b/>
        </w:rPr>
        <w:t xml:space="preserve">Energy Intensity (kWh/unit):</w:t>
      </w:r>
      <w:r>
        <w:t xml:space="preserve"> </w:t>
      </w:r>
      <w:r>
        <w:t xml:space="preserve">0.5 kWh/unit</w:t>
      </w:r>
    </w:p>
    <w:p>
      <w:pPr>
        <w:numPr>
          <w:ilvl w:val="0"/>
          <w:numId w:val="1003"/>
        </w:numPr>
        <w:pStyle w:val="Compact"/>
      </w:pPr>
      <w:r>
        <w:rPr>
          <w:bCs/>
          <w:b/>
        </w:rPr>
        <w:t xml:space="preserve">Renewable Energy Usage:</w:t>
      </w:r>
      <w:r>
        <w:t xml:space="preserve"> </w:t>
      </w:r>
      <w:r>
        <w:t xml:space="preserve">50% (applied to the manufacturing facility\'s electricity consumption)</w:t>
      </w:r>
    </w:p>
    <w:p>
      <w:pPr>
        <w:numPr>
          <w:ilvl w:val="0"/>
          <w:numId w:val="1003"/>
        </w:numPr>
        <w:pStyle w:val="Compact"/>
      </w:pPr>
      <w:r>
        <w:rPr>
          <w:bCs/>
          <w:b/>
        </w:rPr>
        <w:t xml:space="preserve">Grid Electricity Emission Factor (China):</w:t>
      </w:r>
      <w:r>
        <w:t xml:space="preserve"> </w:t>
      </w:r>
      <w:r>
        <w:t xml:space="preserve">0.8 kg CO2e/kWh for non-renewable portion</w:t>
      </w:r>
    </w:p>
    <w:bookmarkEnd w:id="30"/>
    <w:bookmarkStart w:id="31" w:name="logistics-data"/>
    <w:p>
      <w:pPr>
        <w:pStyle w:val="Heading3"/>
      </w:pPr>
      <w:r>
        <w:t xml:space="preserve">2.4. Logistics Data</w:t>
      </w:r>
    </w:p>
    <w:p>
      <w:pPr>
        <w:numPr>
          <w:ilvl w:val="0"/>
          <w:numId w:val="1004"/>
        </w:numPr>
        <w:pStyle w:val="Compact"/>
      </w:pPr>
      <w:r>
        <w:rPr>
          <w:bCs/>
          <w:b/>
        </w:rPr>
        <w:t xml:space="preserve">Transport Mode (Inbound):</w:t>
      </w:r>
      <w:r>
        <w:t xml:space="preserve"> </w:t>
      </w:r>
      <w:r>
        <w:t xml:space="preserve">Ocean Freight (for components from Europe to China)</w:t>
      </w:r>
    </w:p>
    <w:p>
      <w:pPr>
        <w:numPr>
          <w:ilvl w:val="0"/>
          <w:numId w:val="1004"/>
        </w:numPr>
        <w:pStyle w:val="Compact"/>
      </w:pPr>
      <w:r>
        <w:rPr>
          <w:bCs/>
          <w:b/>
        </w:rPr>
        <w:t xml:space="preserve">Transport Distance (Inbound):</w:t>
      </w:r>
      <w:r>
        <w:t xml:space="preserve"> </w:t>
      </w:r>
      <w:r>
        <w:t xml:space="preserve">15,000 km (Ocean Freight, estimated average for Europe to China route)</w:t>
      </w:r>
    </w:p>
    <w:p>
      <w:pPr>
        <w:numPr>
          <w:ilvl w:val="0"/>
          <w:numId w:val="1004"/>
        </w:numPr>
        <w:pStyle w:val="Compact"/>
      </w:pPr>
      <w:r>
        <w:rPr>
          <w:bCs/>
          <w:b/>
        </w:rPr>
        <w:t xml:space="preserve">Transport Mode (Outbound):</w:t>
      </w:r>
      <w:r>
        <w:t xml:space="preserve"> </w:t>
      </w:r>
      <w:r>
        <w:t xml:space="preserve">Ocean Freight (China to Europe) followed by Road Freight (Last-Mile Delivery within Europe)</w:t>
      </w:r>
    </w:p>
    <w:p>
      <w:pPr>
        <w:numPr>
          <w:ilvl w:val="0"/>
          <w:numId w:val="1004"/>
        </w:numPr>
        <w:pStyle w:val="Compact"/>
      </w:pPr>
      <w:r>
        <w:rPr>
          <w:bCs/>
          <w:b/>
        </w:rPr>
        <w:t xml:space="preserve">Transport Distance (Outbound):</w:t>
      </w:r>
    </w:p>
    <w:p>
      <w:pPr>
        <w:numPr>
          <w:ilvl w:val="1"/>
          <w:numId w:val="1005"/>
        </w:numPr>
        <w:pStyle w:val="Compact"/>
      </w:pPr>
      <w:r>
        <w:t xml:space="preserve">Ocean Freight: 20,000 km (China to European hub)</w:t>
      </w:r>
    </w:p>
    <w:p>
      <w:pPr>
        <w:numPr>
          <w:ilvl w:val="1"/>
          <w:numId w:val="1005"/>
        </w:numPr>
        <w:pStyle w:val="Compact"/>
      </w:pPr>
      <w:r>
        <w:t xml:space="preserve">Road Freight: 500 km (European hub to customer)</w:t>
      </w:r>
    </w:p>
    <w:p>
      <w:pPr>
        <w:numPr>
          <w:ilvl w:val="0"/>
          <w:numId w:val="1004"/>
        </w:numPr>
        <w:pStyle w:val="Compact"/>
      </w:pPr>
      <w:r>
        <w:rPr>
          <w:bCs/>
          <w:b/>
        </w:rPr>
        <w:t xml:space="preserve">Last-Mile Delivery Channel:</w:t>
      </w:r>
      <w:r>
        <w:t xml:space="preserve"> </w:t>
      </w:r>
      <w:r>
        <w:t xml:space="preserve">Parcel Post/Courier (accounted for within Road Freight emissions)</w:t>
      </w:r>
    </w:p>
    <w:p>
      <w:pPr>
        <w:numPr>
          <w:ilvl w:val="0"/>
          <w:numId w:val="1004"/>
        </w:numPr>
        <w:pStyle w:val="Compact"/>
      </w:pPr>
      <w:r>
        <w:rPr>
          <w:bCs/>
          <w:b/>
        </w:rPr>
        <w:t xml:space="preserve">Product Weight for Transport (estimated packaged):</w:t>
      </w:r>
      <w:r>
        <w:t xml:space="preserve"> </w:t>
      </w:r>
      <w:r>
        <w:t xml:space="preserve">0.15 kg/unit</w:t>
      </w:r>
    </w:p>
    <w:p>
      <w:pPr>
        <w:numPr>
          <w:ilvl w:val="0"/>
          <w:numId w:val="1004"/>
        </w:numPr>
        <w:pStyle w:val="Compact"/>
      </w:pPr>
      <w:r>
        <w:rPr>
          <w:bCs/>
          <w:b/>
        </w:rPr>
        <w:t xml:space="preserve">Ocean Freight Emission Factor:</w:t>
      </w:r>
      <w:r>
        <w:t xml:space="preserve"> </w:t>
      </w:r>
      <w:r>
        <w:t xml:space="preserve">0.016 kg CO2e/tonne-km</w:t>
      </w:r>
    </w:p>
    <w:p>
      <w:pPr>
        <w:numPr>
          <w:ilvl w:val="0"/>
          <w:numId w:val="1004"/>
        </w:numPr>
        <w:pStyle w:val="Compact"/>
      </w:pPr>
      <w:r>
        <w:rPr>
          <w:bCs/>
          <w:b/>
        </w:rPr>
        <w:t xml:space="preserve">Road Freight Emission Factor (Light Commercial Vehicle):</w:t>
      </w:r>
      <w:r>
        <w:t xml:space="preserve"> </w:t>
      </w:r>
      <w:r>
        <w:t xml:space="preserve">0.1 kg CO2e/tonne-km</w:t>
      </w:r>
    </w:p>
    <w:bookmarkEnd w:id="31"/>
    <w:bookmarkStart w:id="32" w:name="use-phase-data"/>
    <w:p>
      <w:pPr>
        <w:pStyle w:val="Heading3"/>
      </w:pPr>
      <w:r>
        <w:t xml:space="preserve">2.5. Use Phase Data</w:t>
      </w:r>
    </w:p>
    <w:p>
      <w:pPr>
        <w:numPr>
          <w:ilvl w:val="0"/>
          <w:numId w:val="1006"/>
        </w:numPr>
        <w:pStyle w:val="Compact"/>
      </w:pPr>
      <w:r>
        <w:rPr>
          <w:bCs/>
          <w:b/>
        </w:rPr>
        <w:t xml:space="preserve">Product Lifespan:</w:t>
      </w:r>
      <w:r>
        <w:t xml:space="preserve"> </w:t>
      </w:r>
      <w:r>
        <w:t xml:space="preserve">3 years</w:t>
      </w:r>
    </w:p>
    <w:p>
      <w:pPr>
        <w:numPr>
          <w:ilvl w:val="0"/>
          <w:numId w:val="1006"/>
        </w:numPr>
        <w:pStyle w:val="Compact"/>
      </w:pPr>
      <w:r>
        <w:rPr>
          <w:bCs/>
          <w:b/>
        </w:rPr>
        <w:t xml:space="preserve">Energy Consumption in Use:</w:t>
      </w:r>
      <w:r>
        <w:t xml:space="preserve"> </w:t>
      </w:r>
      <w:r>
        <w:t xml:space="preserve">10 kWh/year</w:t>
      </w:r>
    </w:p>
    <w:p>
      <w:pPr>
        <w:numPr>
          <w:ilvl w:val="0"/>
          <w:numId w:val="1006"/>
        </w:numPr>
        <w:pStyle w:val="Compact"/>
      </w:pPr>
      <w:r>
        <w:rPr>
          <w:bCs/>
          <w:b/>
        </w:rPr>
        <w:t xml:space="preserve">Grid Electricity Emission Factor (Europe):</w:t>
      </w:r>
      <w:r>
        <w:t xml:space="preserve"> </w:t>
      </w:r>
      <w:r>
        <w:t xml:space="preserve">0.25 kg CO2e/kWh (average for end-user location)</w:t>
      </w:r>
    </w:p>
    <w:bookmarkEnd w:id="32"/>
    <w:bookmarkStart w:id="33" w:name="end-of-life-eol-scenarios"/>
    <w:p>
      <w:pPr>
        <w:pStyle w:val="Heading3"/>
      </w:pPr>
      <w:r>
        <w:t xml:space="preserve">2.6. End-of-Life (EoL) Scenarios</w:t>
      </w:r>
    </w:p>
    <w:p>
      <w:pPr>
        <w:numPr>
          <w:ilvl w:val="0"/>
          <w:numId w:val="1007"/>
        </w:numPr>
        <w:pStyle w:val="Compact"/>
      </w:pPr>
      <w:r>
        <w:rPr>
          <w:bCs/>
          <w:b/>
        </w:rPr>
        <w:t xml:space="preserve">Recyclability Percentage:</w:t>
      </w:r>
      <w:r>
        <w:t xml:space="preserve"> </w:t>
      </w:r>
      <w:r>
        <w:t xml:space="preserve">30% (of total product mass)</w:t>
      </w:r>
    </w:p>
    <w:p>
      <w:pPr>
        <w:numPr>
          <w:ilvl w:val="0"/>
          <w:numId w:val="1007"/>
        </w:numPr>
        <w:pStyle w:val="Compact"/>
      </w:pPr>
      <w:r>
        <w:rPr>
          <w:bCs/>
          <w:b/>
        </w:rPr>
        <w:t xml:space="preserve">Circular/Take-back Programs:</w:t>
      </w:r>
      <w:r>
        <w:t xml:space="preserve"> </w:t>
      </w:r>
      <w:r>
        <w:t xml:space="preserve">Currently, no formal take-back programs are in place by eonsfjnmiz; relies on municipal recycling and waste disposal systems.</w:t>
      </w:r>
    </w:p>
    <w:p>
      <w:pPr>
        <w:numPr>
          <w:ilvl w:val="0"/>
          <w:numId w:val="1007"/>
        </w:numPr>
        <w:pStyle w:val="Compact"/>
      </w:pPr>
      <w:r>
        <w:rPr>
          <w:bCs/>
          <w:b/>
        </w:rPr>
        <w:t xml:space="preserve">Waste to Landfill Emission Factor (Mixed MSW):</w:t>
      </w:r>
      <w:r>
        <w:t xml:space="preserve"> </w:t>
      </w:r>
      <w:r>
        <w:t xml:space="preserve">1.0 kg CO2e/kg (for non-recycled portion)</w:t>
      </w:r>
    </w:p>
    <w:p>
      <w:r>
        <w:pict>
          <v:rect style="width:0;height:1.5pt" o:hralign="center" o:hrstd="t" o:hr="t"/>
        </w:pict>
      </w:r>
    </w:p>
    <w:bookmarkEnd w:id="33"/>
    <w:bookmarkEnd w:id="34"/>
    <w:bookmarkStart w:id="44" w:name="X2c62247db19834934c44c209ad423fe06ba5c64"/>
    <w:p>
      <w:pPr>
        <w:pStyle w:val="Heading2"/>
      </w:pPr>
      <w:r>
        <w:t xml:space="preserve">3. Calculation of Emissions (Activity * Emission Factor = CO2e)</w:t>
      </w:r>
    </w:p>
    <w:p>
      <w:pPr>
        <w:pStyle w:val="FirstParagraph"/>
      </w:pPr>
      <w:r>
        <w:t xml:space="preserve">Emissions are calculated for each stage of the lifecycle and categorized according to the GHG Protocol Scopes. The total PCF for \'gyydwijfkw\' is</w:t>
      </w:r>
      <w:r>
        <w:t xml:space="preserve"> </w:t>
      </w:r>
      <w:r>
        <w:rPr>
          <w:bCs/>
          <w:b/>
        </w:rPr>
        <w:t xml:space="preserve">8.67 kg CO2e per unit</w:t>
      </w:r>
      <w:r>
        <w:t xml:space="preserve">.</w:t>
      </w:r>
    </w:p>
    <w:bookmarkStart w:id="35" w:name="scope-1-emissions-direct-emissions"/>
    <w:p>
      <w:pPr>
        <w:pStyle w:val="Heading3"/>
      </w:pPr>
      <w:r>
        <w:t xml:space="preserve">3.1. Scope 1 Emissions (Direct Emissions)</w:t>
      </w:r>
    </w:p>
    <w:p>
      <w:pPr>
        <w:pStyle w:val="FirstParagraph"/>
      </w:pPr>
      <w:r>
        <w:t xml:space="preserve">For a product-level PCF with a \'factory_gate\' system boundary for direct operations, Scope 1 emissions primarily relate to on-site fuel combustion. Given the focus on the product itself and common practices for electronic device assembly, direct emissions from owned or controlled sources for manufacturing gyydwijfkw are assumed to be negligible for this specific PCF analysis. Any significant direct emissions from the broader eonsfjnmiz operations would be accounted for in the corporate GHG inventory, but are considered immaterial at the individual product unit level in this context.</w:t>
      </w:r>
    </w:p>
    <w:p>
      <w:pPr>
        <w:numPr>
          <w:ilvl w:val="0"/>
          <w:numId w:val="1008"/>
        </w:numPr>
        <w:pStyle w:val="Compact"/>
      </w:pPr>
      <w:r>
        <w:rPr>
          <w:bCs/>
          <w:b/>
        </w:rPr>
        <w:t xml:space="preserve">Total Scope 1 Emissions: 0.00 kg CO2e</w:t>
      </w:r>
    </w:p>
    <w:bookmarkEnd w:id="35"/>
    <w:bookmarkStart w:id="36" w:name="X1bd5ed5ba51603fe7fc5fd46de6dc3081dfffbb"/>
    <w:p>
      <w:pPr>
        <w:pStyle w:val="Heading3"/>
      </w:pPr>
      <w:r>
        <w:t xml:space="preserve">3.2. Scope 2 Emissions (Indirect Emissions from Purchased Energy)</w:t>
      </w:r>
    </w:p>
    <w:p>
      <w:pPr>
        <w:pStyle w:val="FirstParagraph"/>
      </w:pPr>
      <w:r>
        <w:t xml:space="preserve">These emissions arise from the generation of purchased electricity consumed during the manufacturing process of \'gyydwijfkw\' at the facility in China.</w:t>
      </w:r>
    </w:p>
    <w:p>
      <w:pPr>
        <w:numPr>
          <w:ilvl w:val="0"/>
          <w:numId w:val="1009"/>
        </w:numPr>
        <w:pStyle w:val="Compact"/>
      </w:pPr>
      <w:r>
        <w:t xml:space="preserve">Energy Intensity: 0.5 kWh/unit</w:t>
      </w:r>
    </w:p>
    <w:p>
      <w:pPr>
        <w:numPr>
          <w:ilvl w:val="0"/>
          <w:numId w:val="1009"/>
        </w:numPr>
        <w:pStyle w:val="Compact"/>
      </w:pPr>
      <w:r>
        <w:t xml:space="preserve">Renewable Energy Usage: 50%</w:t>
      </w:r>
    </w:p>
    <w:p>
      <w:pPr>
        <w:numPr>
          <w:ilvl w:val="0"/>
          <w:numId w:val="1009"/>
        </w:numPr>
        <w:pStyle w:val="Compact"/>
      </w:pPr>
      <w:r>
        <w:t xml:space="preserve">Non-renewable electricity: 0.5 kWh/unit × (1 - 0.50) = 0.25 kWh/unit</w:t>
      </w:r>
    </w:p>
    <w:p>
      <w:pPr>
        <w:numPr>
          <w:ilvl w:val="0"/>
          <w:numId w:val="1009"/>
        </w:numPr>
        <w:pStyle w:val="Compact"/>
      </w:pPr>
      <w:r>
        <w:t xml:space="preserve">China Grid Emission Factor: 0.8 kg CO2e/kWh</w:t>
      </w:r>
    </w:p>
    <w:p>
      <w:pPr>
        <w:numPr>
          <w:ilvl w:val="0"/>
          <w:numId w:val="1009"/>
        </w:numPr>
        <w:pStyle w:val="Compact"/>
      </w:pPr>
      <w:r>
        <w:rPr>
          <w:bCs/>
          <w:b/>
        </w:rPr>
        <w:t xml:space="preserve">Calculation:</w:t>
      </w:r>
      <w:r>
        <w:t xml:space="preserve"> </w:t>
      </w:r>
      <w:r>
        <w:t xml:space="preserve">0.25 kWh/unit × 0.8 kg CO2e/kWh = 0.200 kg CO2e</w:t>
      </w:r>
    </w:p>
    <w:p>
      <w:pPr>
        <w:numPr>
          <w:ilvl w:val="0"/>
          <w:numId w:val="1009"/>
        </w:numPr>
        <w:pStyle w:val="Compact"/>
      </w:pPr>
      <w:r>
        <w:rPr>
          <w:bCs/>
          <w:b/>
        </w:rPr>
        <w:t xml:space="preserve">Total Scope 2 Emissions: 0.200 kg CO2e</w:t>
      </w:r>
    </w:p>
    <w:bookmarkEnd w:id="36"/>
    <w:bookmarkStart w:id="41" w:name="Xa4ae47cf428664338de6136b1752768d982738f"/>
    <w:p>
      <w:pPr>
        <w:pStyle w:val="Heading3"/>
      </w:pPr>
      <w:r>
        <w:t xml:space="preserve">3.3. Scope 3 Emissions (Other Indirect Emissions - Value Chain)</w:t>
      </w:r>
    </w:p>
    <w:p>
      <w:pPr>
        <w:pStyle w:val="FirstParagraph"/>
      </w:pPr>
      <w:r>
        <w:t xml:space="preserve">Scope 3 emissions represent the most significant portion of the product\'s carbon footprint, covering a wide range of upstream and downstream activities.</w:t>
      </w:r>
    </w:p>
    <w:bookmarkStart w:id="37" w:name="category-1-purchased-goods-and-services"/>
    <w:p>
      <w:pPr>
        <w:pStyle w:val="Heading4"/>
      </w:pPr>
      <w:r>
        <w:t xml:space="preserve">3.3.1. Category 1: Purchased Goods and Services</w:t>
      </w:r>
    </w:p>
    <w:p>
      <w:pPr>
        <w:pStyle w:val="FirstParagraph"/>
      </w:pPr>
      <w:r>
        <w:t xml:space="preserve">This category includes emissions from the extraction, production, and processing of all raw materials and components detailed in the Bill of Materials (BOM) \'mruysqvm\'.</w:t>
      </w:r>
    </w:p>
    <w:p>
      <w:pPr>
        <w:numPr>
          <w:ilvl w:val="0"/>
          <w:numId w:val="1010"/>
        </w:numPr>
        <w:pStyle w:val="Compact"/>
      </w:pPr>
      <w:r>
        <w:rPr>
          <w:bCs/>
          <w:b/>
        </w:rPr>
        <w:t xml:space="preserve">Total from BOM analysis: 0.786 kg CO2e</w:t>
      </w:r>
    </w:p>
    <w:bookmarkEnd w:id="37"/>
    <w:bookmarkStart w:id="38" w:name="Xcf3851b1e38aaf700f145fe407218c5e8846bbc"/>
    <w:p>
      <w:pPr>
        <w:pStyle w:val="Heading4"/>
      </w:pPr>
      <w:r>
        <w:t xml:space="preserve">3.3.2. Category 4 &amp; 9: Transportation and Distribution</w:t>
      </w:r>
    </w:p>
    <w:p>
      <w:pPr>
        <w:pStyle w:val="FirstParagraph"/>
      </w:pPr>
      <w:r>
        <w:t xml:space="preserve">This includes both upstream (inbound logistics for materials to factory) and downstream (outbound logistics from factory to customer) transportation.</w:t>
      </w:r>
    </w:p>
    <w:p>
      <w:pPr>
        <w:numPr>
          <w:ilvl w:val="0"/>
          <w:numId w:val="1011"/>
        </w:numPr>
        <w:pStyle w:val="Compact"/>
      </w:pPr>
      <w:r>
        <w:rPr>
          <w:bCs/>
          <w:b/>
        </w:rPr>
        <w:t xml:space="preserve">Inbound Transport (Europe to China - Ocean Freight):</w:t>
      </w:r>
    </w:p>
    <w:p>
      <w:pPr>
        <w:numPr>
          <w:ilvl w:val="1"/>
          <w:numId w:val="1012"/>
        </w:numPr>
        <w:pStyle w:val="Compact"/>
      </w:pPr>
      <w:r>
        <w:t xml:space="preserve">Estimated material weight: 0.1 kg/unit</w:t>
      </w:r>
    </w:p>
    <w:p>
      <w:pPr>
        <w:numPr>
          <w:ilvl w:val="1"/>
          <w:numId w:val="1012"/>
        </w:numPr>
        <w:pStyle w:val="Compact"/>
      </w:pPr>
      <w:r>
        <w:t xml:space="preserve">Distance: 15,000 km</w:t>
      </w:r>
    </w:p>
    <w:p>
      <w:pPr>
        <w:numPr>
          <w:ilvl w:val="1"/>
          <w:numId w:val="1012"/>
        </w:numPr>
        <w:pStyle w:val="Compact"/>
      </w:pPr>
      <w:r>
        <w:t xml:space="preserve">Emission Factor (Ocean Freight): 0.000016 kg CO2e/kg-km</w:t>
      </w:r>
    </w:p>
    <w:p>
      <w:pPr>
        <w:numPr>
          <w:ilvl w:val="1"/>
          <w:numId w:val="1012"/>
        </w:numPr>
        <w:pStyle w:val="Compact"/>
      </w:pPr>
      <w:r>
        <w:rPr>
          <w:bCs/>
          <w:b/>
        </w:rPr>
        <w:t xml:space="preserve">Calculation:</w:t>
      </w:r>
      <w:r>
        <w:t xml:space="preserve"> </w:t>
      </w:r>
      <w:r>
        <w:t xml:space="preserve">0.1 kg/unit × 15,000 km × 0.000016 kg CO2e/kg-km = 0.024 kg CO2e</w:t>
      </w:r>
    </w:p>
    <w:p>
      <w:pPr>
        <w:numPr>
          <w:ilvl w:val="0"/>
          <w:numId w:val="1011"/>
        </w:numPr>
        <w:pStyle w:val="Compact"/>
      </w:pPr>
      <w:r>
        <w:rPr>
          <w:bCs/>
          <w:b/>
        </w:rPr>
        <w:t xml:space="preserve">Outbound Transport (China to Europe):</w:t>
      </w:r>
    </w:p>
    <w:p>
      <w:pPr>
        <w:numPr>
          <w:ilvl w:val="1"/>
          <w:numId w:val="1013"/>
        </w:numPr>
        <w:pStyle w:val="Compact"/>
      </w:pPr>
      <w:r>
        <w:t xml:space="preserve">Product weight: 0.15 kg/unit</w:t>
      </w:r>
    </w:p>
    <w:p>
      <w:pPr>
        <w:numPr>
          <w:ilvl w:val="1"/>
          <w:numId w:val="1013"/>
        </w:numPr>
        <w:pStyle w:val="Compact"/>
      </w:pPr>
      <w:r>
        <w:t xml:space="preserve">Ocean Freight (China to European hub):</w:t>
      </w:r>
    </w:p>
    <w:p>
      <w:pPr>
        <w:numPr>
          <w:ilvl w:val="2"/>
          <w:numId w:val="1014"/>
        </w:numPr>
        <w:pStyle w:val="Compact"/>
      </w:pPr>
      <w:r>
        <w:t xml:space="preserve">Distance: 20,000 km</w:t>
      </w:r>
    </w:p>
    <w:p>
      <w:pPr>
        <w:numPr>
          <w:ilvl w:val="2"/>
          <w:numId w:val="1014"/>
        </w:numPr>
        <w:pStyle w:val="Compact"/>
      </w:pPr>
      <w:r>
        <w:t xml:space="preserve">Emission Factor: 0.000016 kg CO2e/kg-km</w:t>
      </w:r>
    </w:p>
    <w:p>
      <w:pPr>
        <w:numPr>
          <w:ilvl w:val="2"/>
          <w:numId w:val="1014"/>
        </w:numPr>
        <w:pStyle w:val="Compact"/>
      </w:pPr>
      <w:r>
        <w:rPr>
          <w:bCs/>
          <w:b/>
        </w:rPr>
        <w:t xml:space="preserve">Calculation:</w:t>
      </w:r>
      <w:r>
        <w:t xml:space="preserve"> </w:t>
      </w:r>
      <w:r>
        <w:t xml:space="preserve">0.15 kg/unit × 20,000 km × 0.000016 kg CO2e/kg-km = 0.048 kg CO2e</w:t>
      </w:r>
    </w:p>
    <w:p>
      <w:pPr>
        <w:numPr>
          <w:ilvl w:val="1"/>
          <w:numId w:val="1013"/>
        </w:numPr>
        <w:pStyle w:val="Compact"/>
      </w:pPr>
      <w:r>
        <w:t xml:space="preserve">Road Freight (European hub to customer - Last-Mile Delivery):</w:t>
      </w:r>
    </w:p>
    <w:p>
      <w:pPr>
        <w:numPr>
          <w:ilvl w:val="2"/>
          <w:numId w:val="1015"/>
        </w:numPr>
        <w:pStyle w:val="Compact"/>
      </w:pPr>
      <w:r>
        <w:t xml:space="preserve">Distance: 500 km</w:t>
      </w:r>
    </w:p>
    <w:p>
      <w:pPr>
        <w:numPr>
          <w:ilvl w:val="2"/>
          <w:numId w:val="1015"/>
        </w:numPr>
        <w:pStyle w:val="Compact"/>
      </w:pPr>
      <w:r>
        <w:t xml:space="preserve">Emission Factor (Light Commercial Vehicle): 0.0001 kg CO2e/kg-km</w:t>
      </w:r>
    </w:p>
    <w:p>
      <w:pPr>
        <w:numPr>
          <w:ilvl w:val="2"/>
          <w:numId w:val="1015"/>
        </w:numPr>
        <w:pStyle w:val="Compact"/>
      </w:pPr>
      <w:r>
        <w:rPr>
          <w:bCs/>
          <w:b/>
        </w:rPr>
        <w:t xml:space="preserve">Calculation:</w:t>
      </w:r>
      <w:r>
        <w:t xml:space="preserve"> </w:t>
      </w:r>
      <w:r>
        <w:t xml:space="preserve">0.15 kg/unit × 500 km × 0.0001 kg CO2e/kg-km = 0.0075 kg CO2e</w:t>
      </w:r>
    </w:p>
    <w:p>
      <w:pPr>
        <w:numPr>
          <w:ilvl w:val="0"/>
          <w:numId w:val="1011"/>
        </w:numPr>
        <w:pStyle w:val="Compact"/>
      </w:pPr>
      <w:r>
        <w:rPr>
          <w:bCs/>
          <w:b/>
        </w:rPr>
        <w:t xml:space="preserve">Total Transportation Emissions:</w:t>
      </w:r>
      <w:r>
        <w:t xml:space="preserve"> </w:t>
      </w:r>
      <w:r>
        <w:t xml:space="preserve">0.024 + 0.048 + 0.0075 = 0.0795 kg CO2e</w:t>
      </w:r>
    </w:p>
    <w:bookmarkEnd w:id="38"/>
    <w:bookmarkStart w:id="39" w:name="category-11-use-of-sold-products"/>
    <w:p>
      <w:pPr>
        <w:pStyle w:val="Heading4"/>
      </w:pPr>
      <w:r>
        <w:t xml:space="preserve">3.3.3. Category 11: Use of Sold Products</w:t>
      </w:r>
    </w:p>
    <w:p>
      <w:pPr>
        <w:pStyle w:val="FirstParagraph"/>
      </w:pPr>
      <w:r>
        <w:t xml:space="preserve">This category accounts for the energy consumed by the product during its expected lifespan by the end-user.</w:t>
      </w:r>
    </w:p>
    <w:p>
      <w:pPr>
        <w:numPr>
          <w:ilvl w:val="0"/>
          <w:numId w:val="1016"/>
        </w:numPr>
        <w:pStyle w:val="Compact"/>
      </w:pPr>
      <w:r>
        <w:t xml:space="preserve">Product Lifespan: 3 years</w:t>
      </w:r>
    </w:p>
    <w:p>
      <w:pPr>
        <w:numPr>
          <w:ilvl w:val="0"/>
          <w:numId w:val="1016"/>
        </w:numPr>
        <w:pStyle w:val="Compact"/>
      </w:pPr>
      <w:r>
        <w:t xml:space="preserve">Energy Consumption: 10 kWh/year</w:t>
      </w:r>
    </w:p>
    <w:p>
      <w:pPr>
        <w:numPr>
          <w:ilvl w:val="0"/>
          <w:numId w:val="1016"/>
        </w:numPr>
        <w:pStyle w:val="Compact"/>
      </w:pPr>
      <w:r>
        <w:t xml:space="preserve">Total energy over lifespan: 3 years × 10 kWh/year = 30 kWh</w:t>
      </w:r>
    </w:p>
    <w:p>
      <w:pPr>
        <w:numPr>
          <w:ilvl w:val="0"/>
          <w:numId w:val="1016"/>
        </w:numPr>
        <w:pStyle w:val="Compact"/>
      </w:pPr>
      <w:r>
        <w:t xml:space="preserve">European Grid Emission Factor: 0.25 kg CO2e/kWh</w:t>
      </w:r>
    </w:p>
    <w:p>
      <w:pPr>
        <w:numPr>
          <w:ilvl w:val="0"/>
          <w:numId w:val="1016"/>
        </w:numPr>
        <w:pStyle w:val="Compact"/>
      </w:pPr>
      <w:r>
        <w:rPr>
          <w:bCs/>
          <w:b/>
        </w:rPr>
        <w:t xml:space="preserve">Calculation:</w:t>
      </w:r>
      <w:r>
        <w:t xml:space="preserve"> </w:t>
      </w:r>
      <w:r>
        <w:t xml:space="preserve">30 kWh × 0.25 kg CO2e/kWh = 7.500 kg CO2e</w:t>
      </w:r>
    </w:p>
    <w:bookmarkEnd w:id="39"/>
    <w:bookmarkStart w:id="40" w:name="X9f66eef2700632e081dfe139021cb724ffcd2c5"/>
    <w:p>
      <w:pPr>
        <w:pStyle w:val="Heading4"/>
      </w:pPr>
      <w:r>
        <w:t xml:space="preserve">3.3.4. Category 12: End-of-Life Treatment of Sold Products</w:t>
      </w:r>
    </w:p>
    <w:p>
      <w:pPr>
        <w:pStyle w:val="FirstParagraph"/>
      </w:pPr>
      <w:r>
        <w:t xml:space="preserve">Emissions associated with the disposal and treatment of the product after its useful life.</w:t>
      </w:r>
    </w:p>
    <w:p>
      <w:pPr>
        <w:numPr>
          <w:ilvl w:val="0"/>
          <w:numId w:val="1017"/>
        </w:numPr>
        <w:pStyle w:val="Compact"/>
      </w:pPr>
      <w:r>
        <w:t xml:space="preserve">Product weight: 0.15 kg/unit</w:t>
      </w:r>
    </w:p>
    <w:p>
      <w:pPr>
        <w:numPr>
          <w:ilvl w:val="0"/>
          <w:numId w:val="1017"/>
        </w:numPr>
        <w:pStyle w:val="Compact"/>
      </w:pPr>
      <w:r>
        <w:t xml:space="preserve">Recyclability Percentage: 30%</w:t>
      </w:r>
    </w:p>
    <w:p>
      <w:pPr>
        <w:numPr>
          <w:ilvl w:val="0"/>
          <w:numId w:val="1017"/>
        </w:numPr>
        <w:pStyle w:val="Compact"/>
      </w:pPr>
      <w:r>
        <w:t xml:space="preserve">Non-recycled portion: 0.15 kg × (1 - 0.30) = 0.105 kg</w:t>
      </w:r>
    </w:p>
    <w:p>
      <w:pPr>
        <w:numPr>
          <w:ilvl w:val="0"/>
          <w:numId w:val="1017"/>
        </w:numPr>
        <w:pStyle w:val="Compact"/>
      </w:pPr>
      <w:r>
        <w:t xml:space="preserve">Waste to Landfill Emission Factor (Mixed MSW): 1.0 kg CO2e/kg</w:t>
      </w:r>
    </w:p>
    <w:p>
      <w:pPr>
        <w:numPr>
          <w:ilvl w:val="0"/>
          <w:numId w:val="1017"/>
        </w:numPr>
        <w:pStyle w:val="Compact"/>
      </w:pPr>
      <w:r>
        <w:rPr>
          <w:bCs/>
          <w:b/>
        </w:rPr>
        <w:t xml:space="preserve">Calculation:</w:t>
      </w:r>
      <w:r>
        <w:t xml:space="preserve"> </w:t>
      </w:r>
      <w:r>
        <w:t xml:space="preserve">0.105 kg × 1.0 kg CO2e/kg = 0.105 kg CO2e</w:t>
      </w:r>
    </w:p>
    <w:p>
      <w:pPr>
        <w:numPr>
          <w:ilvl w:val="0"/>
          <w:numId w:val="1017"/>
        </w:numPr>
        <w:pStyle w:val="Compact"/>
      </w:pPr>
      <w:r>
        <w:rPr>
          <w:iCs/>
          <w:i/>
        </w:rPr>
        <w:t xml:space="preserve">Note:</w:t>
      </w:r>
      <w:r>
        <w:t xml:space="preserve"> </w:t>
      </w:r>
      <w:r>
        <w:t xml:space="preserve">Recycling generally offers avoided emissions benefits compared to virgin material production, which are not explicitly netted here but contribute to circular economy benefits.</w:t>
      </w:r>
    </w:p>
    <w:bookmarkEnd w:id="40"/>
    <w:bookmarkEnd w:id="41"/>
    <w:bookmarkStart w:id="42" w:name="total-scope-3-emissions"/>
    <w:p>
      <w:pPr>
        <w:pStyle w:val="Heading3"/>
      </w:pPr>
      <w:r>
        <w:t xml:space="preserve">3.4. Total Scope 3 Emissions</w:t>
      </w:r>
    </w:p>
    <w:p>
      <w:pPr>
        <w:pStyle w:val="FirstParagraph"/>
      </w:pPr>
      <w:r>
        <w:t xml:space="preserve">Sum of all calculated Scope 3 categories:</w:t>
      </w:r>
    </w:p>
    <w:p>
      <w:pPr>
        <w:numPr>
          <w:ilvl w:val="0"/>
          <w:numId w:val="1018"/>
        </w:numPr>
        <w:pStyle w:val="Compact"/>
      </w:pPr>
      <w:r>
        <w:t xml:space="preserve">Purchased Goods and Services: 0.786 kg CO2e</w:t>
      </w:r>
    </w:p>
    <w:p>
      <w:pPr>
        <w:numPr>
          <w:ilvl w:val="0"/>
          <w:numId w:val="1018"/>
        </w:numPr>
        <w:pStyle w:val="Compact"/>
      </w:pPr>
      <w:r>
        <w:t xml:space="preserve">Transportation and Distribution: 0.0795 kg CO2e</w:t>
      </w:r>
    </w:p>
    <w:p>
      <w:pPr>
        <w:numPr>
          <w:ilvl w:val="0"/>
          <w:numId w:val="1018"/>
        </w:numPr>
        <w:pStyle w:val="Compact"/>
      </w:pPr>
      <w:r>
        <w:t xml:space="preserve">Use of Sold Products: 7.500 kg CO2e</w:t>
      </w:r>
    </w:p>
    <w:p>
      <w:pPr>
        <w:numPr>
          <w:ilvl w:val="0"/>
          <w:numId w:val="1018"/>
        </w:numPr>
        <w:pStyle w:val="Compact"/>
      </w:pPr>
      <w:r>
        <w:t xml:space="preserve">End-of-Life Treatment: 0.105 kg CO2e</w:t>
      </w:r>
    </w:p>
    <w:p>
      <w:pPr>
        <w:numPr>
          <w:ilvl w:val="0"/>
          <w:numId w:val="1018"/>
        </w:numPr>
        <w:pStyle w:val="Compact"/>
      </w:pPr>
      <w:r>
        <w:rPr>
          <w:bCs/>
          <w:b/>
        </w:rPr>
        <w:t xml:space="preserve">Total Scope 3 Emissions: 8.4705 kg CO2e</w:t>
      </w:r>
    </w:p>
    <w:bookmarkEnd w:id="42"/>
    <w:bookmarkStart w:id="43" w:name="application-of-2026-lsr-update"/>
    <w:p>
      <w:pPr>
        <w:pStyle w:val="Heading3"/>
      </w:pPr>
      <w:r>
        <w:t xml:space="preserve">3.5. Application of 2026 LSR Update</w:t>
      </w:r>
    </w:p>
    <w:p>
      <w:pPr>
        <w:pStyle w:val="FirstParagraph"/>
      </w:pPr>
      <w:r>
        <w:t xml:space="preserve">The Land Sector and Removals (LSR) Standard, effective January 1, 2027, provides enhanced guidance for land-based emissions and carbon removals. For \'gyydwijfkw\', an electronic device, direct land-use change and biogenic carbon flows are not significant drivers of the PCF compared to materials and energy. However, upstream impacts of certain raw materials (e.g., if any components contain materials from agriculture or forestry with significant land-use change impacts) would be considered under Scope 3, Category 1. This analysis acknowledges the LSR standard\'s importance and its future integration for materials with higher land-sector relevance in eonsfjnmiz’s broader portfolio.</w:t>
      </w:r>
    </w:p>
    <w:p>
      <w:r>
        <w:pict>
          <v:rect style="width:0;height:1.5pt" o:hralign="center" o:hrstd="t" o:hr="t"/>
        </w:pict>
      </w:r>
    </w:p>
    <w:bookmarkEnd w:id="43"/>
    <w:bookmarkEnd w:id="44"/>
    <w:bookmarkStart w:id="49" w:name="pcf-results-and-hotspot-analysis"/>
    <w:p>
      <w:pPr>
        <w:pStyle w:val="Heading2"/>
      </w:pPr>
      <w:r>
        <w:t xml:space="preserve">4. PCF Results and Hotspot Analysis</w:t>
      </w:r>
    </w:p>
    <w:bookmarkStart w:id="45" w:name="total-product-carbon-footprint"/>
    <w:p>
      <w:pPr>
        <w:pStyle w:val="Heading3"/>
      </w:pPr>
      <w:r>
        <w:t xml:space="preserve">4.1. Total Product Carbon Footprint</w:t>
      </w:r>
    </w:p>
    <w:p>
      <w:pPr>
        <w:pStyle w:val="FirstParagraph"/>
      </w:pPr>
      <w:r>
        <w:t xml:space="preserve">The estimated total Product Carbon Footprint for one unit of \'gyydwijfkw\' is:</w:t>
      </w:r>
    </w:p>
    <w:p>
      <w:pPr>
        <w:pStyle w:val="BodyText"/>
      </w:pPr>
      <w:r>
        <w:t xml:space="preserve">8.67 kg CO2e per unit</w:t>
      </w:r>
    </w:p>
    <w:bookmarkEnd w:id="45"/>
    <w:bookmarkStart w:id="46" w:name="emissions-breakdown-by-scope"/>
    <w:p>
      <w:pPr>
        <w:pStyle w:val="Heading3"/>
      </w:pPr>
      <w:r>
        <w:t xml:space="preserve">4.2. Emissions Breakdown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 (%)</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0.20</w:t>
            </w:r>
          </w:p>
        </w:tc>
        <w:tc>
          <w:tcPr/>
          <w:p>
            <w:pPr>
              <w:pStyle w:val="Compact"/>
              <w:jc w:val="left"/>
            </w:pPr>
            <w:r>
              <w:t xml:space="preserve">2.31%</w:t>
            </w:r>
          </w:p>
        </w:tc>
      </w:tr>
      <w:tr>
        <w:tc>
          <w:tcPr/>
          <w:p>
            <w:pPr>
              <w:pStyle w:val="Compact"/>
              <w:jc w:val="left"/>
            </w:pPr>
            <w:r>
              <w:t xml:space="preserve">Scope 3</w:t>
            </w:r>
          </w:p>
        </w:tc>
        <w:tc>
          <w:tcPr/>
          <w:p>
            <w:pPr>
              <w:pStyle w:val="Compact"/>
              <w:jc w:val="left"/>
            </w:pPr>
            <w:r>
              <w:t xml:space="preserve">8.47</w:t>
            </w:r>
          </w:p>
        </w:tc>
        <w:tc>
          <w:tcPr/>
          <w:p>
            <w:pPr>
              <w:pStyle w:val="Compact"/>
              <w:jc w:val="left"/>
            </w:pPr>
            <w:r>
              <w:t xml:space="preserve">97.69%</w:t>
            </w:r>
          </w:p>
        </w:tc>
      </w:tr>
      <w:tr>
        <w:tc>
          <w:tcPr/>
          <w:p>
            <w:pPr>
              <w:pStyle w:val="Compact"/>
              <w:jc w:val="left"/>
            </w:pPr>
            <w:r>
              <w:t xml:space="preserve">Total PCF</w:t>
            </w:r>
          </w:p>
        </w:tc>
        <w:tc>
          <w:tcPr/>
          <w:p>
            <w:pPr>
              <w:pStyle w:val="Compact"/>
              <w:jc w:val="left"/>
            </w:pPr>
            <w:r>
              <w:t xml:space="preserve">8.67</w:t>
            </w:r>
          </w:p>
        </w:tc>
        <w:tc>
          <w:tcPr/>
          <w:p>
            <w:pPr>
              <w:pStyle w:val="Compact"/>
              <w:jc w:val="left"/>
            </w:pPr>
            <w:r>
              <w:t xml:space="preserve">100.00%</w:t>
            </w:r>
          </w:p>
        </w:tc>
      </w:tr>
    </w:tbl>
    <w:bookmarkEnd w:id="46"/>
    <w:bookmarkStart w:id="47" w:name="emissions-breakdown-by-lifecycle-stage"/>
    <w:p>
      <w:pPr>
        <w:pStyle w:val="Heading3"/>
      </w:pPr>
      <w:r>
        <w:t xml:space="preserve">4.3. Emissions Breakdown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 PCF (%)</w:t>
            </w:r>
          </w:p>
        </w:tc>
      </w:tr>
      <w:tr>
        <w:tc>
          <w:tcPr/>
          <w:p>
            <w:pPr>
              <w:pStyle w:val="Compact"/>
              <w:jc w:val="left"/>
            </w:pPr>
            <w:r>
              <w:t xml:space="preserve">Raw Material Acquisition &amp; Processing (Scope 3, Cat 1)</w:t>
            </w:r>
          </w:p>
        </w:tc>
        <w:tc>
          <w:tcPr/>
          <w:p>
            <w:pPr>
              <w:pStyle w:val="Compact"/>
              <w:jc w:val="left"/>
            </w:pPr>
            <w:r>
              <w:t xml:space="preserve">0.786</w:t>
            </w:r>
          </w:p>
        </w:tc>
        <w:tc>
          <w:tcPr/>
          <w:p>
            <w:pPr>
              <w:pStyle w:val="Compact"/>
              <w:jc w:val="left"/>
            </w:pPr>
            <w:r>
              <w:t xml:space="preserve">9.07%</w:t>
            </w:r>
          </w:p>
        </w:tc>
      </w:tr>
      <w:tr>
        <w:tc>
          <w:tcPr/>
          <w:p>
            <w:pPr>
              <w:pStyle w:val="Compact"/>
              <w:jc w:val="left"/>
            </w:pPr>
            <w:r>
              <w:t xml:space="preserve">Manufacturing (Scope 2)</w:t>
            </w:r>
          </w:p>
        </w:tc>
        <w:tc>
          <w:tcPr/>
          <w:p>
            <w:pPr>
              <w:pStyle w:val="Compact"/>
              <w:jc w:val="left"/>
            </w:pPr>
            <w:r>
              <w:t xml:space="preserve">0.200</w:t>
            </w:r>
          </w:p>
        </w:tc>
        <w:tc>
          <w:tcPr/>
          <w:p>
            <w:pPr>
              <w:pStyle w:val="Compact"/>
              <w:jc w:val="left"/>
            </w:pPr>
            <w:r>
              <w:t xml:space="preserve">2.31%</w:t>
            </w:r>
          </w:p>
        </w:tc>
      </w:tr>
      <w:tr>
        <w:tc>
          <w:tcPr/>
          <w:p>
            <w:pPr>
              <w:pStyle w:val="Compact"/>
              <w:jc w:val="left"/>
            </w:pPr>
            <w:r>
              <w:t xml:space="preserve">Transportation (Upstream &amp; Downstream) (Scope 3, Cat 4 &amp; 9)</w:t>
            </w:r>
          </w:p>
        </w:tc>
        <w:tc>
          <w:tcPr/>
          <w:p>
            <w:pPr>
              <w:pStyle w:val="Compact"/>
              <w:jc w:val="left"/>
            </w:pPr>
            <w:r>
              <w:t xml:space="preserve">0.0795</w:t>
            </w:r>
          </w:p>
        </w:tc>
        <w:tc>
          <w:tcPr/>
          <w:p>
            <w:pPr>
              <w:pStyle w:val="Compact"/>
              <w:jc w:val="left"/>
            </w:pPr>
            <w:r>
              <w:t xml:space="preserve">0.92%</w:t>
            </w:r>
          </w:p>
        </w:tc>
      </w:tr>
      <w:tr>
        <w:tc>
          <w:tcPr/>
          <w:p>
            <w:pPr>
              <w:pStyle w:val="Compact"/>
              <w:jc w:val="left"/>
            </w:pPr>
            <w:r>
              <w:t xml:space="preserve">Use Phase (Scope 3, Cat 11)</w:t>
            </w:r>
          </w:p>
        </w:tc>
        <w:tc>
          <w:tcPr/>
          <w:p>
            <w:pPr>
              <w:pStyle w:val="Compact"/>
              <w:jc w:val="left"/>
            </w:pPr>
            <w:r>
              <w:t xml:space="preserve">7.500</w:t>
            </w:r>
          </w:p>
        </w:tc>
        <w:tc>
          <w:tcPr/>
          <w:p>
            <w:pPr>
              <w:pStyle w:val="Compact"/>
              <w:jc w:val="left"/>
            </w:pPr>
            <w:r>
              <w:t xml:space="preserve">86.51%</w:t>
            </w:r>
          </w:p>
        </w:tc>
      </w:tr>
      <w:tr>
        <w:tc>
          <w:tcPr/>
          <w:p>
            <w:pPr>
              <w:pStyle w:val="Compact"/>
              <w:jc w:val="left"/>
            </w:pPr>
            <w:r>
              <w:t xml:space="preserve">End-of-Life (Scope 3, Cat 12)</w:t>
            </w:r>
          </w:p>
        </w:tc>
        <w:tc>
          <w:tcPr/>
          <w:p>
            <w:pPr>
              <w:pStyle w:val="Compact"/>
              <w:jc w:val="left"/>
            </w:pPr>
            <w:r>
              <w:t xml:space="preserve">0.105</w:t>
            </w:r>
          </w:p>
        </w:tc>
        <w:tc>
          <w:tcPr/>
          <w:p>
            <w:pPr>
              <w:pStyle w:val="Compact"/>
              <w:jc w:val="left"/>
            </w:pPr>
            <w:r>
              <w:t xml:space="preserve">1.21%</w:t>
            </w:r>
          </w:p>
        </w:tc>
      </w:tr>
      <w:tr>
        <w:tc>
          <w:tcPr/>
          <w:p>
            <w:pPr>
              <w:pStyle w:val="Compact"/>
              <w:jc w:val="left"/>
            </w:pPr>
            <w:r>
              <w:t xml:space="preserve">Total PCF</w:t>
            </w:r>
          </w:p>
        </w:tc>
        <w:tc>
          <w:tcPr/>
          <w:p>
            <w:pPr>
              <w:pStyle w:val="Compact"/>
              <w:jc w:val="left"/>
            </w:pPr>
            <w:r>
              <w:t xml:space="preserve">8.67</w:t>
            </w:r>
          </w:p>
        </w:tc>
        <w:tc>
          <w:tcPr/>
          <w:p>
            <w:pPr>
              <w:pStyle w:val="Compact"/>
              <w:jc w:val="left"/>
            </w:pPr>
            <w:r>
              <w:t xml:space="preserve">100.00%</w:t>
            </w:r>
          </w:p>
        </w:tc>
      </w:tr>
    </w:tbl>
    <w:bookmarkEnd w:id="47"/>
    <w:bookmarkStart w:id="48" w:name="hotspot-identification"/>
    <w:p>
      <w:pPr>
        <w:pStyle w:val="Heading3"/>
      </w:pPr>
      <w:r>
        <w:t xml:space="preserve">4.4. Hotspot Identification</w:t>
      </w:r>
    </w:p>
    <w:p>
      <w:pPr>
        <w:pStyle w:val="FirstParagraph"/>
      </w:pPr>
      <w:r>
        <w:t xml:space="preserve">The primary hotspot for the \'gyydwijfkw\' product carbon footprint is unequivocally the</w:t>
      </w:r>
      <w:r>
        <w:t xml:space="preserve"> </w:t>
      </w:r>
      <w:r>
        <w:rPr>
          <w:bCs/>
          <w:b/>
        </w:rPr>
        <w:t xml:space="preserve">Use Phase</w:t>
      </w:r>
      <w:r>
        <w:t xml:space="preserve">, accounting for approximately 86.51% of the total emissions. This is driven by the energy consumption of the device over its 3-year lifespan, particularly given the reliance on the European grid mix for electricity generation.</w:t>
      </w:r>
    </w:p>
    <w:p>
      <w:pPr>
        <w:pStyle w:val="BodyText"/>
      </w:pPr>
      <w:r>
        <w:t xml:space="preserve">Other significant hotspots include:</w:t>
      </w:r>
    </w:p>
    <w:p>
      <w:pPr>
        <w:numPr>
          <w:ilvl w:val="0"/>
          <w:numId w:val="1019"/>
        </w:numPr>
        <w:pStyle w:val="Compact"/>
      </w:pPr>
      <w:r>
        <w:rPr>
          <w:bCs/>
          <w:b/>
        </w:rPr>
        <w:t xml:space="preserve">Raw Material Acquisition &amp; Processing:</w:t>
      </w:r>
      <w:r>
        <w:t xml:space="preserve"> </w:t>
      </w:r>
      <w:r>
        <w:t xml:space="preserve">Constituting 9.07% of emissions, largely due to the embodied carbon in electronic components and the battery.</w:t>
      </w:r>
    </w:p>
    <w:p>
      <w:pPr>
        <w:numPr>
          <w:ilvl w:val="0"/>
          <w:numId w:val="1019"/>
        </w:numPr>
        <w:pStyle w:val="Compact"/>
      </w:pPr>
      <w:r>
        <w:rPr>
          <w:bCs/>
          <w:b/>
        </w:rPr>
        <w:t xml:space="preserve">Manufacturing (Scope 2):</w:t>
      </w:r>
      <w:r>
        <w:t xml:space="preserve"> </w:t>
      </w:r>
      <w:r>
        <w:t xml:space="preserve">Represents 2.31% of emissions, influenced by the electricity mix in China and the energy intensity of production.</w:t>
      </w:r>
    </w:p>
    <w:p>
      <w:r>
        <w:pict>
          <v:rect style="width:0;height:1.5pt" o:hralign="center" o:hrstd="t" o:hr="t"/>
        </w:pict>
      </w:r>
    </w:p>
    <w:bookmarkEnd w:id="48"/>
    <w:bookmarkEnd w:id="49"/>
    <w:bookmarkStart w:id="52" w:name="review-reporting"/>
    <w:p>
      <w:pPr>
        <w:pStyle w:val="Heading2"/>
      </w:pPr>
      <w:r>
        <w:t xml:space="preserve">5. Review &amp; Reporting</w:t>
      </w:r>
    </w:p>
    <w:bookmarkStart w:id="50" w:name="data-reliability"/>
    <w:p>
      <w:pPr>
        <w:pStyle w:val="Heading3"/>
      </w:pPr>
      <w:r>
        <w:t xml:space="preserve">5.1. Data Reliability</w:t>
      </w:r>
    </w:p>
    <w:p>
      <w:pPr>
        <w:pStyle w:val="FirstParagraph"/>
      </w:pPr>
      <w:r>
        <w:t xml:space="preserve">The calculations in this report are based on a combination of specific product parameters provided by eonsfjnmiz and industry-average emission factors sourced from reputable databases (e.g., Ecoinvent, DEFRA, IEA for grid mixes) as referenced in the methodology. While the detailed BOM allows for a higher accuracy in material impact, the use of average emission factors introduces a degree of uncertainty. Actual emissions may vary based on specific supplier data, precise transport routes, and real-world energy consumption patterns. The 95% Scope 3 coverage target has been met by addressing all material upstream and downstream categories.</w:t>
      </w:r>
    </w:p>
    <w:bookmarkEnd w:id="50"/>
    <w:bookmarkStart w:id="51" w:name="recommendations-for-emission-reduction"/>
    <w:p>
      <w:pPr>
        <w:pStyle w:val="Heading3"/>
      </w:pPr>
      <w:r>
        <w:t xml:space="preserve">5.2. Recommendations for Emission Reduction</w:t>
      </w:r>
    </w:p>
    <w:p>
      <w:pPr>
        <w:pStyle w:val="FirstParagraph"/>
      </w:pPr>
      <w:r>
        <w:t xml:space="preserve">Based on the hotspot analysis, the following recommendations are provided to eonsfjnmiz for reducing the PCF of \'gyydwijfkw\':</w:t>
      </w:r>
    </w:p>
    <w:p>
      <w:pPr>
        <w:numPr>
          <w:ilvl w:val="0"/>
          <w:numId w:val="1020"/>
        </w:numPr>
        <w:pStyle w:val="Compact"/>
      </w:pPr>
      <w:r>
        <w:rPr>
          <w:bCs/>
          <w:b/>
        </w:rPr>
        <w:t xml:space="preserve">Optimize Use Phase Efficiency:</w:t>
      </w:r>
    </w:p>
    <w:p>
      <w:pPr>
        <w:numPr>
          <w:ilvl w:val="1"/>
          <w:numId w:val="1021"/>
        </w:numPr>
        <w:pStyle w:val="Compact"/>
      </w:pPr>
      <w:r>
        <w:t xml:space="preserve">Prioritize R&amp;D for more energy-efficient designs to reduce annual energy consumption.</w:t>
      </w:r>
    </w:p>
    <w:p>
      <w:pPr>
        <w:numPr>
          <w:ilvl w:val="1"/>
          <w:numId w:val="1021"/>
        </w:numPr>
        <w:pStyle w:val="Compact"/>
      </w:pPr>
      <w:r>
        <w:t xml:space="preserve">Explore software optimization or power-saving modes to minimize energy draw during operation.</w:t>
      </w:r>
    </w:p>
    <w:p>
      <w:pPr>
        <w:numPr>
          <w:ilvl w:val="1"/>
          <w:numId w:val="1021"/>
        </w:numPr>
        <w:pStyle w:val="Compact"/>
      </w:pPr>
      <w:r>
        <w:t xml:space="preserve">Educate end-users on energy-saving usage patterns.</w:t>
      </w:r>
    </w:p>
    <w:p>
      <w:pPr>
        <w:numPr>
          <w:ilvl w:val="0"/>
          <w:numId w:val="1020"/>
        </w:numPr>
        <w:pStyle w:val="Compact"/>
      </w:pPr>
      <w:r>
        <w:rPr>
          <w:bCs/>
          <w:b/>
        </w:rPr>
        <w:t xml:space="preserve">Decarbonize Supply Chain (Materials):</w:t>
      </w:r>
    </w:p>
    <w:p>
      <w:pPr>
        <w:numPr>
          <w:ilvl w:val="1"/>
          <w:numId w:val="1022"/>
        </w:numPr>
        <w:pStyle w:val="Compact"/>
      </w:pPr>
      <w:r>
        <w:t xml:space="preserve">Engage with component suppliers to source materials and components with lower embodied carbon.</w:t>
      </w:r>
    </w:p>
    <w:p>
      <w:pPr>
        <w:numPr>
          <w:ilvl w:val="1"/>
          <w:numId w:val="1022"/>
        </w:numPr>
        <w:pStyle w:val="Compact"/>
      </w:pPr>
      <w:r>
        <w:t xml:space="preserve">Investigate opportunities for using recycled content in plastics and metals.</w:t>
      </w:r>
    </w:p>
    <w:p>
      <w:pPr>
        <w:numPr>
          <w:ilvl w:val="1"/>
          <w:numId w:val="1022"/>
        </w:numPr>
        <w:pStyle w:val="Compact"/>
      </w:pPr>
      <w:r>
        <w:t xml:space="preserve">Encourage suppliers to use renewable energy in their production processes.</w:t>
      </w:r>
    </w:p>
    <w:p>
      <w:pPr>
        <w:numPr>
          <w:ilvl w:val="0"/>
          <w:numId w:val="1020"/>
        </w:numPr>
        <w:pStyle w:val="Compact"/>
      </w:pPr>
      <w:r>
        <w:rPr>
          <w:bCs/>
          <w:b/>
        </w:rPr>
        <w:t xml:space="preserve">Enhance Circularity at End-of-Life:</w:t>
      </w:r>
    </w:p>
    <w:p>
      <w:pPr>
        <w:numPr>
          <w:ilvl w:val="1"/>
          <w:numId w:val="1023"/>
        </w:numPr>
        <w:pStyle w:val="Compact"/>
      </w:pPr>
      <w:r>
        <w:t xml:space="preserve">Develop and implement formal take-back or circularity programs to increase actual recycling rates beyond the current 30%.</w:t>
      </w:r>
    </w:p>
    <w:p>
      <w:pPr>
        <w:numPr>
          <w:ilvl w:val="1"/>
          <w:numId w:val="1023"/>
        </w:numPr>
        <w:pStyle w:val="Compact"/>
      </w:pPr>
      <w:r>
        <w:t xml:space="preserve">Design for disassembly and material recovery to facilitate higher quality recycling.</w:t>
      </w:r>
    </w:p>
    <w:p>
      <w:pPr>
        <w:numPr>
          <w:ilvl w:val="1"/>
          <w:numId w:val="1023"/>
        </w:numPr>
        <w:pStyle w:val="Compact"/>
      </w:pPr>
      <w:r>
        <w:t xml:space="preserve">Explore options for product refurbishment or reuse.</w:t>
      </w:r>
    </w:p>
    <w:p>
      <w:pPr>
        <w:numPr>
          <w:ilvl w:val="0"/>
          <w:numId w:val="1020"/>
        </w:numPr>
        <w:pStyle w:val="Compact"/>
      </w:pPr>
      <w:r>
        <w:rPr>
          <w:bCs/>
          <w:b/>
        </w:rPr>
        <w:t xml:space="preserve">Improve Manufacturing Efficiency:</w:t>
      </w:r>
    </w:p>
    <w:p>
      <w:pPr>
        <w:numPr>
          <w:ilvl w:val="1"/>
          <w:numId w:val="1024"/>
        </w:numPr>
        <w:pStyle w:val="Compact"/>
      </w:pPr>
      <w:r>
        <w:t xml:space="preserve">Continue to increase the share of renewable energy used in the Chinese manufacturing facility.</w:t>
      </w:r>
    </w:p>
    <w:p>
      <w:pPr>
        <w:numPr>
          <w:ilvl w:val="1"/>
          <w:numId w:val="1024"/>
        </w:numPr>
        <w:pStyle w:val="Compact"/>
      </w:pPr>
      <w:r>
        <w:t xml:space="preserve">Implement energy efficiency measures in production processes to reduce energy intensity.</w:t>
      </w:r>
    </w:p>
    <w:p>
      <w:r>
        <w:pict>
          <v:rect style="width:0;height:1.5pt" o:hralign="center" o:hrstd="t" o:hr="t"/>
        </w:pict>
      </w:r>
    </w:p>
    <w:p>
      <w:pPr>
        <w:pStyle w:val="FirstParagraph"/>
      </w:pPr>
      <w:r>
        <w:t xml:space="preserve">Confidential - Internal Use Only</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gyydwijfkw - eonsfjnmiz</dc:title>
  <dc:creator/>
  <dc:description>Detailed Product Carbon Footprint (PCF) analysis for gyydwijfkw, manufactured by eonsfjnmiz, following GHG Protocol standards including Scope 1, 2, and 3 emissions.</dc:description>
  <dc:language>en</dc:language>
  <cp:keywords/>
  <dcterms:created xsi:type="dcterms:W3CDTF">2026-05-30T21:14:56Z</dcterms:created>
  <dcterms:modified xsi:type="dcterms:W3CDTF">2026-05-30T21:14:56Z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