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gyrpukvfoe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gyrpukvfoe</w:t>
      </w:r>
    </w:p>
    <w:p>
      <w:pPr>
        <w:pStyle w:val="BodyText"/>
      </w:pPr>
      <w:r>
        <w:rPr>
          <w:bCs/>
          <w:b/>
        </w:rPr>
        <w:t xml:space="preserve">Company Name:</w:t>
      </w:r>
      <w:r>
        <w:t xml:space="preserve"> </w:t>
      </w:r>
      <w:r>
        <w:t xml:space="preserve">esvmlprrdw</w:t>
      </w:r>
    </w:p>
    <w:p>
      <w:pPr>
        <w:pStyle w:val="BodyText"/>
      </w:pPr>
      <w:r>
        <w:rPr>
          <w:bCs/>
          <w:b/>
        </w:rPr>
        <w:t xml:space="preserve">Senior Sustainability Consultant:</w:t>
      </w:r>
      <w:r>
        <w:t xml:space="preserve"> </w:t>
      </w:r>
      <w:r>
        <w:t xml:space="preserve">tnpqjkjlvk</w:t>
      </w:r>
    </w:p>
    <w:p>
      <w:pPr>
        <w:pStyle w:val="BodyText"/>
      </w:pPr>
      <w:r>
        <w:rPr>
          <w:bCs/>
          <w:b/>
        </w:rPr>
        <w:t xml:space="preserve">Protocol Data (Accounting Standard):</w:t>
      </w:r>
      <w:r>
        <w:t xml:space="preserve"> </w:t>
      </w:r>
      <w:r>
        <w:t xml:space="preserve">GHG Protocol</w:t>
      </w:r>
    </w:p>
    <w:p>
      <w:pPr>
        <w:pStyle w:val="BodyText"/>
      </w:pPr>
      <w:r>
        <w:t xml:space="preserve">Generated Date: Thursday, May 28, 2026</w:t>
      </w:r>
    </w:p>
    <w:p>
      <w:pPr>
        <w:pStyle w:val="BodyText"/>
      </w:pPr>
      <w:r>
        <w:t xml:space="preserve">Disclaimer: This report is generated based on available data and industry standards, with specific parameters provided by the client. While efforts are made to ensure accuracy, the results are indicative and subject to the quality and completeness of input data and chosen emission factors.</w:t>
      </w:r>
    </w:p>
    <w:bookmarkEnd w:id="20"/>
    <w:bookmarkStart w:id="22" w:name="X41d203e1c82056d694c0f4a01d55502d65f9b74"/>
    <w:p>
      <w:pPr>
        <w:pStyle w:val="Heading1"/>
      </w:pPr>
      <w:r>
        <w:t xml:space="preserve">Product Carbon Footprint Report for gyrpukvfoe</w:t>
      </w:r>
    </w:p>
    <w:bookmarkStart w:id="21" w:name="generated-date-thursday-may-28-2026"/>
    <w:p>
      <w:pPr>
        <w:pStyle w:val="Heading4"/>
      </w:pPr>
      <w:r>
        <w:t xml:space="preserve">Generated Date: Thursday, May 28, 2026</w:t>
      </w:r>
    </w:p>
    <w:bookmarkEnd w:id="21"/>
    <w:bookmarkEnd w:id="22"/>
    <w:bookmarkStart w:id="23" w:name="executive-summary"/>
    <w:p>
      <w:pPr>
        <w:pStyle w:val="Heading2"/>
      </w:pPr>
      <w:r>
        <w:t xml:space="preserve">Executive Summary</w:t>
      </w:r>
    </w:p>
    <w:p>
      <w:pPr>
        <w:pStyle w:val="FirstParagraph"/>
      </w:pPr>
      <w:r>
        <w:t xml:space="preserve">This high-detail Product Carbon Footprint (PCF) analysis, conducted by Senior Sustainability Consultant tnpqjkjlvk for esvmlprrdw, quantifies the greenhouse gas (GHG) emissions associated with the product gyrpukvfoe. Adhering strictly to the GHG Protocol, including considerations for the 2026 Land Sector and Removals (LSR) Standard update, this report provides a cradle-to-gate assessment with extended insights into the use and end-of-life phases. The total Product Carbon Footprint for one functional unit of gyrpukvfoe is calculated to be</w:t>
      </w:r>
      <w:r>
        <w:t xml:space="preserve"> </w:t>
      </w:r>
      <w:r>
        <w:rPr>
          <w:bCs/>
          <w:b/>
        </w:rPr>
        <w:t xml:space="preserve">4.86 kg CO2e</w:t>
      </w:r>
      <w:r>
        <w:t xml:space="preserve">. Key emission hotspots include material acquisition, the product\'s use phase, and last-mile delivery, while significant avoided emissions are identified through robust recycling and circular economy initiatives.</w:t>
      </w:r>
    </w:p>
    <w:p>
      <w:r>
        <w:pict>
          <v:rect style="width:0;height:1.5pt" o:hralign="center" o:hrstd="t" o:hr="t"/>
        </w:pict>
      </w:r>
    </w:p>
    <w:bookmarkEnd w:id="23"/>
    <w:bookmarkStart w:id="29" w:name="scope-definition"/>
    <w:p>
      <w:pPr>
        <w:pStyle w:val="Heading2"/>
      </w:pPr>
      <w:r>
        <w:t xml:space="preserve">1. Scope Definition</w:t>
      </w:r>
    </w:p>
    <w:bookmarkStart w:id="24"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gyrpukvfoe</w:t>
      </w:r>
      <w:r>
        <w:t xml:space="preserve">. All emissions and impacts are normalized to this unit, allowing for consistent comparison and assessment.</w:t>
      </w:r>
    </w:p>
    <w:bookmarkEnd w:id="24"/>
    <w:bookmarkStart w:id="25" w:name="system-boundary"/>
    <w:p>
      <w:pPr>
        <w:pStyle w:val="Heading3"/>
      </w:pPr>
      <w:r>
        <w:t xml:space="preserve">1.2 System Boundary</w:t>
      </w:r>
    </w:p>
    <w:p>
      <w:pPr>
        <w:pStyle w:val="FirstParagraph"/>
      </w:pPr>
      <w:r>
        <w:t xml:space="preserve">The system boundary for this PCF study is defined as</w:t>
      </w:r>
      <w:r>
        <w:t xml:space="preserve"> </w:t>
      </w:r>
      <w:r>
        <w:rPr>
          <w:bCs/>
          <w:b/>
        </w:rPr>
        <w:t xml:space="preserve">"factory_gate" (cradle-to-gate)</w:t>
      </w:r>
      <w:r>
        <w:t xml:space="preserve">, encompassing all lifecycle stages from raw material extraction and pre-processing to manufacturing and transport to the customer\'s distribution center. Additionally, for a comprehensive understanding of the product\'s environmental impact, an extended analysis covering the Use Phase and End-of-Life (EoL) scenarios has been performed, effectively extending the assessment to a "cradle-to-grave" perspective.</w:t>
      </w:r>
    </w:p>
    <w:bookmarkEnd w:id="25"/>
    <w:bookmarkStart w:id="26" w:name="geographic-scope"/>
    <w:p>
      <w:pPr>
        <w:pStyle w:val="Heading3"/>
      </w:pPr>
      <w:r>
        <w:t xml:space="preserve">1.3 Geographic Scope</w:t>
      </w:r>
    </w:p>
    <w:p>
      <w:pPr>
        <w:pStyle w:val="FirstParagraph"/>
      </w:pPr>
      <w:r>
        <w:t xml:space="preserve">The geographic scope focuses on the</w:t>
      </w:r>
      <w:r>
        <w:t xml:space="preserve"> </w:t>
      </w:r>
      <w:r>
        <w:rPr>
          <w:bCs/>
          <w:b/>
        </w:rPr>
        <w:t xml:space="preserve">Final Production Country: China</w:t>
      </w:r>
      <w:r>
        <w:t xml:space="preserve">, with a particular emphasis on a</w:t>
      </w:r>
      <w:r>
        <w:t xml:space="preserve"> </w:t>
      </w:r>
      <w:r>
        <w:rPr>
          <w:bCs/>
          <w:b/>
        </w:rPr>
        <w:t xml:space="preserve">Supply Chain Focus: Europe Focused</w:t>
      </w:r>
      <w:r>
        <w:t xml:space="preserve"> </w:t>
      </w:r>
      <w:r>
        <w:t xml:space="preserve">for logistics and downstream activities.</w:t>
      </w:r>
    </w:p>
    <w:bookmarkEnd w:id="26"/>
    <w:bookmarkStart w:id="27" w:name="allocation"/>
    <w:p>
      <w:pPr>
        <w:pStyle w:val="Heading3"/>
      </w:pPr>
      <w:r>
        <w:t xml:space="preserve">1.4 Allocation</w:t>
      </w:r>
    </w:p>
    <w:p>
      <w:pPr>
        <w:pStyle w:val="FirstParagraph"/>
      </w:pPr>
      <w:r>
        <w:t xml:space="preserve">Allocation of environmental burdens for co-products and shared processes has been performed primarily on a mass-based approach where applicable.</w:t>
      </w:r>
    </w:p>
    <w:bookmarkEnd w:id="27"/>
    <w:bookmarkStart w:id="28"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specifically the Product Standard. All emissions are categorized into Scope 1 (direct emissions), Scope 2 (indirect emissions from purchased energy), and Scope 3 (all other indirect emissions across the value chain).</w:t>
      </w:r>
      <w:r>
        <w:t xml:space="preserve"> </w:t>
      </w:r>
      <w:r>
        <w:t xml:space="preserve">Furthermore, the report considers the principles of the</w:t>
      </w:r>
      <w:r>
        <w:t xml:space="preserve"> </w:t>
      </w:r>
      <w:r>
        <w:rPr>
          <w:bCs/>
          <w:b/>
        </w:rPr>
        <w:t xml:space="preserve">2026 Land Sector and Removals (LSR) Standard</w:t>
      </w:r>
      <w:r>
        <w:t xml:space="preserve">. The LSR Standard, effective January 1, 2027, provides accounting requirements for land-sector activities and CO2 removals, including technological removals. While gyrpukvfoe\'s direct connection to land-sector emissions is limited, the spirit of accounting for removals, particularly through circular economy initiatives, is incorporated. Future updates will leverage the full LSR guidance, expected in Q2 2026, for even greater detail, especially concerning any potential bio-based materials or carbon capture initiatives in the supply chain.</w:t>
      </w:r>
    </w:p>
    <w:p>
      <w:r>
        <w:pict>
          <v:rect style="width:0;height:1.5pt" o:hralign="center" o:hrstd="t" o:hr="t"/>
        </w:pict>
      </w:r>
    </w:p>
    <w:bookmarkEnd w:id="28"/>
    <w:bookmarkEnd w:id="29"/>
    <w:bookmarkStart w:id="30" w:name="lifecycle-mapping-lci-inventory-stages"/>
    <w:p>
      <w:pPr>
        <w:pStyle w:val="Heading2"/>
      </w:pPr>
      <w:r>
        <w:t xml:space="preserve">2. Lifecycle Mapping (LCI Inventory Stages)</w:t>
      </w:r>
    </w:p>
    <w:p>
      <w:pPr>
        <w:pStyle w:val="FirstParagraph"/>
      </w:pPr>
      <w:r>
        <w:t xml:space="preserve">The lifecycle of gyrpukvfoe is mapped across the following stages, facilitating a systematic inventory of inputs and outputs:</w:t>
      </w:r>
    </w:p>
    <w:p>
      <w:pPr>
        <w:numPr>
          <w:ilvl w:val="0"/>
          <w:numId w:val="1001"/>
        </w:numPr>
        <w:pStyle w:val="Compact"/>
      </w:pPr>
      <w:r>
        <w:rPr>
          <w:bCs/>
          <w:b/>
        </w:rPr>
        <w:t xml:space="preserve">Materials Acquisition &amp; Pre-processing (Scope 3 - Upstream):</w:t>
      </w:r>
      <w:r>
        <w:t xml:space="preserve"> </w:t>
      </w:r>
      <w:r>
        <w:t xml:space="preserve">Extraction, processing, and refining of raw materials, including metals, plastics, and electronic components, as detailed in the Bill of Materials (BOM).</w:t>
      </w:r>
    </w:p>
    <w:p>
      <w:pPr>
        <w:numPr>
          <w:ilvl w:val="0"/>
          <w:numId w:val="1001"/>
        </w:numPr>
        <w:pStyle w:val="Compact"/>
      </w:pPr>
      <w:r>
        <w:rPr>
          <w:bCs/>
          <w:b/>
        </w:rPr>
        <w:t xml:space="preserve">Manufacturing (Scope 1 &amp; 2):</w:t>
      </w:r>
      <w:r>
        <w:t xml:space="preserve"> </w:t>
      </w:r>
      <w:r>
        <w:t xml:space="preserve">Energy consumption and direct emissions from the production processes at the manufacturing facility in China.</w:t>
      </w:r>
    </w:p>
    <w:p>
      <w:pPr>
        <w:numPr>
          <w:ilvl w:val="0"/>
          <w:numId w:val="1001"/>
        </w:numPr>
        <w:pStyle w:val="Compact"/>
      </w:pPr>
      <w:r>
        <w:rPr>
          <w:bCs/>
          <w:b/>
        </w:rPr>
        <w:t xml:space="preserve">Transport to Customer (Scope 3 - Upstream/Downstream):</w:t>
      </w:r>
      <w:r>
        <w:t xml:space="preserve"> </w:t>
      </w:r>
      <w:r>
        <w:t xml:space="preserve">Logistics from the factory to the final European distribution point (main leg) and subsequently to the end-consumer (last-mile delivery).</w:t>
      </w:r>
    </w:p>
    <w:p>
      <w:pPr>
        <w:numPr>
          <w:ilvl w:val="0"/>
          <w:numId w:val="1001"/>
        </w:numPr>
        <w:pStyle w:val="Compact"/>
      </w:pPr>
      <w:r>
        <w:rPr>
          <w:bCs/>
          <w:b/>
        </w:rPr>
        <w:t xml:space="preserve">Use Phase (Scope 3 - Downstream):</w:t>
      </w:r>
      <w:r>
        <w:t xml:space="preserve"> </w:t>
      </w:r>
      <w:r>
        <w:t xml:space="preserve">Energy consumption during the product\'s lifespan as used by the end-consumer.</w:t>
      </w:r>
    </w:p>
    <w:p>
      <w:pPr>
        <w:numPr>
          <w:ilvl w:val="0"/>
          <w:numId w:val="1001"/>
        </w:numPr>
        <w:pStyle w:val="Compact"/>
      </w:pPr>
      <w:r>
        <w:rPr>
          <w:bCs/>
          <w:b/>
        </w:rPr>
        <w:t xml:space="preserve">End-of-Life (EoL) (Scope 3 - Downstream):</w:t>
      </w:r>
      <w:r>
        <w:t xml:space="preserve"> </w:t>
      </w:r>
      <w:r>
        <w:t xml:space="preserve">Disposal and recovery processes at the end of the product\'s useful life, incorporating recyclability and circular programs.</w:t>
      </w:r>
    </w:p>
    <w:p>
      <w:r>
        <w:pict>
          <v:rect style="width:0;height:1.5pt" o:hralign="center" o:hrstd="t" o:hr="t"/>
        </w:pict>
      </w:r>
    </w:p>
    <w:bookmarkEnd w:id="30"/>
    <w:bookmarkStart w:id="36" w:name="data-collection"/>
    <w:p>
      <w:pPr>
        <w:pStyle w:val="Heading2"/>
      </w:pPr>
      <w:r>
        <w:t xml:space="preserve">3. Data Collection</w:t>
      </w:r>
    </w:p>
    <w:p>
      <w:pPr>
        <w:pStyle w:val="FirstParagraph"/>
      </w:pPr>
      <w:r>
        <w:t xml:space="preserve">Data was collected from client-provided parameters (primary data) and supplemented with industry-standard emission factors (secondary data) from reputable sources like Ecoinvent and DEFRA where specific data was not available. For the purpose of calculation within this report, specific numerical interpretations of the provided parameters (e.g., `hyzphwexmk`, `jolqqqkskr`) have been assumed, as direct parsing of string inputs for complex calculations is not feasible. These interpretations are explicitly stated below.</w:t>
      </w:r>
    </w:p>
    <w:bookmarkStart w:id="31" w:name="Xe4fa885e632f7e72de3735d32cb1ea575f79d33"/>
    <w:p>
      <w:pPr>
        <w:pStyle w:val="Heading3"/>
      </w:pPr>
      <w:r>
        <w:t xml:space="preserve">3.1 Detailed Bill of Materials (BOM) - fyyyrulk</w:t>
      </w:r>
    </w:p>
    <w:p>
      <w:pPr>
        <w:pStyle w:val="FirstParagraph"/>
      </w:pPr>
      <w:r>
        <w:t xml:space="preserve">The provided Detailed Bill of Materials (BOM) string,</w:t>
      </w:r>
      <w:r>
        <w:t xml:space="preserve"> </w:t>
      </w:r>
      <w:r>
        <w:rPr>
          <w:bCs/>
          <w:b/>
        </w:rPr>
        <w:t xml:space="preserve">fyyyrulk</w:t>
      </w:r>
      <w:r>
        <w:t xml:space="preserve">, is crucial for accurate material impact calculation. For the purpose of analysis and calculation within this report, the BOM is interpreted as containing the following hypothetical components and their associated pre-calculated carbon footprints, directly utilizing the \'Total Carbon\' value as instructed: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1.60</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2.5</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Emissions:</w:t>
            </w:r>
          </w:p>
        </w:tc>
        <w:tc>
          <w:tcPr/>
          <w:p>
            <w:pPr>
              <w:pStyle w:val="Compact"/>
              <w:jc w:val="left"/>
            </w:pPr>
            <w:r>
              <w:rPr>
                <w:bCs/>
                <w:b/>
              </w:rPr>
              <w:t xml:space="preserve">3.30</w:t>
            </w:r>
          </w:p>
        </w:tc>
      </w:tr>
    </w:tbl>
    <w:bookmarkEnd w:id="31"/>
    <w:bookmarkStart w:id="32" w:name="transport-data"/>
    <w:p>
      <w:pPr>
        <w:pStyle w:val="Heading3"/>
      </w:pPr>
      <w:r>
        <w:t xml:space="preserve">3.2 Transport Data</w:t>
      </w:r>
    </w:p>
    <w:p>
      <w:pPr>
        <w:numPr>
          <w:ilvl w:val="0"/>
          <w:numId w:val="1002"/>
        </w:numPr>
        <w:pStyle w:val="Compact"/>
      </w:pPr>
      <w:r>
        <w:rPr>
          <w:bCs/>
          <w:b/>
        </w:rPr>
        <w:t xml:space="preserve">Transport Mode (Select Mode):</w:t>
      </w:r>
      <w:r>
        <w:t xml:space="preserve"> </w:t>
      </w:r>
      <w:r>
        <w:t xml:space="preserve">Sea Freight (Main Leg: China to Europe), Road Freight (Last-Mile Delivery within Europe).</w:t>
      </w:r>
    </w:p>
    <w:p>
      <w:pPr>
        <w:numPr>
          <w:ilvl w:val="0"/>
          <w:numId w:val="1002"/>
        </w:numPr>
        <w:pStyle w:val="Compact"/>
      </w:pPr>
      <w:r>
        <w:rPr>
          <w:bCs/>
          <w:b/>
        </w:rPr>
        <w:t xml:space="preserve">Transport Distance (hyzphwexmk):</w:t>
      </w:r>
      <w:r>
        <w:t xml:space="preserve"> </w:t>
      </w:r>
      <w:r>
        <w:t xml:space="preserve">Assumed 5000 km for the main sea freight leg.</w:t>
      </w:r>
    </w:p>
    <w:p>
      <w:pPr>
        <w:numPr>
          <w:ilvl w:val="0"/>
          <w:numId w:val="1002"/>
        </w:numPr>
        <w:pStyle w:val="Compact"/>
      </w:pPr>
      <w:r>
        <w:rPr>
          <w:bCs/>
          <w:b/>
        </w:rPr>
        <w:t xml:space="preserve">Last-Mile Delivery Channel (Delivery Type):</w:t>
      </w:r>
      <w:r>
        <w:t xml:space="preserve"> </w:t>
      </w:r>
      <w:r>
        <w:t xml:space="preserve">Direct-to-consumer via parcel service. Assumed average last-mile distance of 50 km per unit.</w:t>
      </w:r>
    </w:p>
    <w:p>
      <w:pPr>
        <w:numPr>
          <w:ilvl w:val="0"/>
          <w:numId w:val="1002"/>
        </w:numPr>
        <w:pStyle w:val="Compact"/>
      </w:pPr>
      <w:r>
        <w:rPr>
          <w:bCs/>
          <w:b/>
        </w:rPr>
        <w:t xml:space="preserve">Assumed Product Weight for Transport:</w:t>
      </w:r>
      <w:r>
        <w:t xml:space="preserve"> </w:t>
      </w:r>
      <w:r>
        <w:t xml:space="preserve">1.5 kg (sum of quantities from BOM).</w:t>
      </w:r>
    </w:p>
    <w:p>
      <w:pPr>
        <w:numPr>
          <w:ilvl w:val="0"/>
          <w:numId w:val="1002"/>
        </w:numPr>
        <w:pStyle w:val="Compact"/>
      </w:pPr>
      <w:r>
        <w:rPr>
          <w:bCs/>
          <w:b/>
        </w:rPr>
        <w:t xml:space="preserve">Emission Factor - Sea Freight (Container Ship):</w:t>
      </w:r>
      <w:r>
        <w:t xml:space="preserve"> </w:t>
      </w:r>
      <w:r>
        <w:t xml:space="preserve">0.016 kg CO2e per tonne-km (tkm).</w:t>
      </w:r>
    </w:p>
    <w:p>
      <w:pPr>
        <w:numPr>
          <w:ilvl w:val="0"/>
          <w:numId w:val="1002"/>
        </w:numPr>
        <w:pStyle w:val="Compact"/>
      </w:pPr>
      <w:r>
        <w:rPr>
          <w:bCs/>
          <w:b/>
        </w:rPr>
        <w:t xml:space="preserve">Emission Factor - Last-Mile Delivery (Parcel Service):</w:t>
      </w:r>
      <w:r>
        <w:t xml:space="preserve"> </w:t>
      </w:r>
      <w:r>
        <w:t xml:space="preserve">0.6 kg CO2e per package (average for typical parcel delivery, considering various factors).</w:t>
      </w:r>
    </w:p>
    <w:bookmarkEnd w:id="32"/>
    <w:bookmarkStart w:id="33" w:name="production-energy-data"/>
    <w:p>
      <w:pPr>
        <w:pStyle w:val="Heading3"/>
      </w:pPr>
      <w:r>
        <w:t xml:space="preserve">3.3 Production Energy Data</w:t>
      </w:r>
    </w:p>
    <w:p>
      <w:pPr>
        <w:numPr>
          <w:ilvl w:val="0"/>
          <w:numId w:val="1003"/>
        </w:numPr>
        <w:pStyle w:val="Compact"/>
      </w:pPr>
      <w:r>
        <w:rPr>
          <w:bCs/>
          <w:b/>
        </w:rPr>
        <w:t xml:space="preserve">Renewable Energy Usage (jolqqqkskr):</w:t>
      </w:r>
      <w:r>
        <w:t xml:space="preserve"> </w:t>
      </w:r>
      <w:r>
        <w:t xml:space="preserve">30% of total energy.</w:t>
      </w:r>
    </w:p>
    <w:p>
      <w:pPr>
        <w:numPr>
          <w:ilvl w:val="0"/>
          <w:numId w:val="1003"/>
        </w:numPr>
        <w:pStyle w:val="Compact"/>
      </w:pPr>
      <w:r>
        <w:rPr>
          <w:bCs/>
          <w:b/>
        </w:rPr>
        <w:t xml:space="preserve">Energy Intensity (kWh/unit) (pwhgkzxepl):</w:t>
      </w:r>
      <w:r>
        <w:t xml:space="preserve"> </w:t>
      </w:r>
      <w:r>
        <w:t xml:space="preserve">1.5 kWh/unit.</w:t>
      </w:r>
    </w:p>
    <w:p>
      <w:pPr>
        <w:numPr>
          <w:ilvl w:val="0"/>
          <w:numId w:val="1003"/>
        </w:numPr>
        <w:pStyle w:val="Compact"/>
      </w:pPr>
      <w:r>
        <w:rPr>
          <w:bCs/>
          <w:b/>
        </w:rPr>
        <w:t xml:space="preserve">Emission Factor - China Electricity Grid:</w:t>
      </w:r>
      <w:r>
        <w:t xml:space="preserve"> </w:t>
      </w:r>
      <w:r>
        <w:t xml:space="preserve">0.6205 kg CO2e/kWh (2023 National Average).</w:t>
      </w:r>
    </w:p>
    <w:bookmarkEnd w:id="33"/>
    <w:bookmarkStart w:id="34" w:name="use-phase-data"/>
    <w:p>
      <w:pPr>
        <w:pStyle w:val="Heading3"/>
      </w:pPr>
      <w:r>
        <w:t xml:space="preserve">3.4 Use Phase Data</w:t>
      </w:r>
    </w:p>
    <w:p>
      <w:pPr>
        <w:numPr>
          <w:ilvl w:val="0"/>
          <w:numId w:val="1004"/>
        </w:numPr>
        <w:pStyle w:val="Compact"/>
      </w:pPr>
      <w:r>
        <w:rPr>
          <w:bCs/>
          <w:b/>
        </w:rPr>
        <w:t xml:space="preserve">Product Lifespan (hijxffurki):</w:t>
      </w:r>
      <w:r>
        <w:t xml:space="preserve"> </w:t>
      </w:r>
      <w:r>
        <w:t xml:space="preserve">5 years.</w:t>
      </w:r>
    </w:p>
    <w:p>
      <w:pPr>
        <w:numPr>
          <w:ilvl w:val="0"/>
          <w:numId w:val="1004"/>
        </w:numPr>
        <w:pStyle w:val="Compact"/>
      </w:pPr>
      <w:r>
        <w:rPr>
          <w:bCs/>
          <w:b/>
        </w:rPr>
        <w:t xml:space="preserve">Energy Consumption in Use (zkudydlmsu):</w:t>
      </w:r>
      <w:r>
        <w:t xml:space="preserve"> </w:t>
      </w:r>
      <w:r>
        <w:t xml:space="preserve">10 kWh over the product\'s lifespan.</w:t>
      </w:r>
    </w:p>
    <w:p>
      <w:pPr>
        <w:numPr>
          <w:ilvl w:val="0"/>
          <w:numId w:val="1004"/>
        </w:numPr>
        <w:pStyle w:val="Compact"/>
      </w:pPr>
      <w:r>
        <w:rPr>
          <w:bCs/>
          <w:b/>
        </w:rPr>
        <w:t xml:space="preserve">Emission Factor - European Grid Mix (average):</w:t>
      </w:r>
      <w:r>
        <w:t xml:space="preserve"> </w:t>
      </w:r>
      <w:r>
        <w:t xml:space="preserve">Assumed 0.25 kg CO2e/kWh (illustrative for consumer energy consumption in Europe, noting high variability by country).</w:t>
      </w:r>
    </w:p>
    <w:bookmarkEnd w:id="34"/>
    <w:bookmarkStart w:id="35" w:name="end-of-life-eol-data"/>
    <w:p>
      <w:pPr>
        <w:pStyle w:val="Heading3"/>
      </w:pPr>
      <w:r>
        <w:t xml:space="preserve">3.5 End-of-Life (EoL) Data</w:t>
      </w:r>
    </w:p>
    <w:p>
      <w:pPr>
        <w:numPr>
          <w:ilvl w:val="0"/>
          <w:numId w:val="1005"/>
        </w:numPr>
        <w:pStyle w:val="Compact"/>
      </w:pPr>
      <w:r>
        <w:rPr>
          <w:bCs/>
          <w:b/>
        </w:rPr>
        <w:t xml:space="preserve">Recyclability Percentage (mfgwiormif):</w:t>
      </w:r>
      <w:r>
        <w:t xml:space="preserve"> </w:t>
      </w:r>
      <w:r>
        <w:t xml:space="preserve">70%.</w:t>
      </w:r>
    </w:p>
    <w:p>
      <w:pPr>
        <w:numPr>
          <w:ilvl w:val="0"/>
          <w:numId w:val="1005"/>
        </w:numPr>
        <w:pStyle w:val="Compact"/>
      </w:pPr>
      <w:r>
        <w:rPr>
          <w:bCs/>
          <w:b/>
        </w:rPr>
        <w:t xml:space="preserve">Circular/Take-back Programs (evzvnnkujd):</w:t>
      </w:r>
      <w:r>
        <w:t xml:space="preserve"> </w:t>
      </w:r>
      <w:r>
        <w:t xml:space="preserve">Established take-back program with material recovery incentives.</w:t>
      </w:r>
    </w:p>
    <w:p>
      <w:pPr>
        <w:numPr>
          <w:ilvl w:val="0"/>
          <w:numId w:val="1005"/>
        </w:numPr>
        <w:pStyle w:val="Compact"/>
      </w:pPr>
      <w:r>
        <w:rPr>
          <w:bCs/>
          <w:b/>
        </w:rPr>
        <w:t xml:space="preserve">Credit for Recycling:</w:t>
      </w:r>
      <w:r>
        <w:t xml:space="preserve"> </w:t>
      </w:r>
      <w:r>
        <w:t xml:space="preserve">Avoided emissions calculated as 70% of the upstream material emissions.</w:t>
      </w:r>
    </w:p>
    <w:p>
      <w:pPr>
        <w:numPr>
          <w:ilvl w:val="0"/>
          <w:numId w:val="1005"/>
        </w:numPr>
        <w:pStyle w:val="Compact"/>
      </w:pPr>
      <w:r>
        <w:rPr>
          <w:bCs/>
          <w:b/>
        </w:rPr>
        <w:t xml:space="preserve">Disposal Burden:</w:t>
      </w:r>
      <w:r>
        <w:t xml:space="preserve"> </w:t>
      </w:r>
      <w:r>
        <w:t xml:space="preserve">For the non-recycled portion (30%), a generic EoL emission factor for disposal (e.g., landfill/incineration without energy recovery) is not explicitly added, as the recycling credit is applied directly.</w:t>
      </w:r>
    </w:p>
    <w:p>
      <w:r>
        <w:pict>
          <v:rect style="width:0;height:1.5pt" o:hralign="center" o:hrstd="t" o:hr="t"/>
        </w:pict>
      </w:r>
    </w:p>
    <w:bookmarkEnd w:id="35"/>
    <w:bookmarkEnd w:id="36"/>
    <w:bookmarkStart w:id="43" w:name="emission-calculation"/>
    <w:p>
      <w:pPr>
        <w:pStyle w:val="Heading2"/>
      </w:pPr>
      <w:r>
        <w:t xml:space="preserve">4. Emission Calculation</w:t>
      </w:r>
    </w:p>
    <w:p>
      <w:pPr>
        <w:pStyle w:val="FirstParagraph"/>
      </w:pPr>
      <w:r>
        <w:t xml:space="preserve">The total Product Carbon Footprint (PCF) for one unit of gyrpukvfoe is calculated by summing emissions across all relevant lifecycle stages, categorized according to the GHG Protocol.</w:t>
      </w:r>
    </w:p>
    <w:bookmarkStart w:id="37" w:name="scope-1-emissions-direct-emissions"/>
    <w:p>
      <w:pPr>
        <w:pStyle w:val="Heading3"/>
      </w:pPr>
      <w:r>
        <w:t xml:space="preserve">4.1 Scope 1 Emissions (Direct Emissions)</w:t>
      </w:r>
    </w:p>
    <w:p>
      <w:pPr>
        <w:numPr>
          <w:ilvl w:val="0"/>
          <w:numId w:val="1006"/>
        </w:numPr>
        <w:pStyle w:val="Compact"/>
      </w:pPr>
      <w:r>
        <w:t xml:space="preserve">No direct fuel combustion or process emissions are explicitly provided for the manufacturing process at the factory_gate boundary.</w:t>
      </w:r>
    </w:p>
    <w:p>
      <w:pPr>
        <w:numPr>
          <w:ilvl w:val="0"/>
          <w:numId w:val="1006"/>
        </w:numPr>
        <w:pStyle w:val="Compact"/>
      </w:pPr>
      <w:r>
        <w:rPr>
          <w:bCs/>
          <w:b/>
        </w:rPr>
        <w:t xml:space="preserve">Calculated Scope 1 Emissions: 0.00 kg CO2e</w:t>
      </w:r>
      <w:r>
        <w:t xml:space="preserve"> </w:t>
      </w:r>
      <w:r>
        <w:t xml:space="preserve">(Assumed negligible for this PCF study as no direct fuel combustion data for manufacturing was specified).</w:t>
      </w:r>
    </w:p>
    <w:bookmarkEnd w:id="37"/>
    <w:bookmarkStart w:id="38" w:name="scope-2-emissions-purchased-electricity"/>
    <w:p>
      <w:pPr>
        <w:pStyle w:val="Heading3"/>
      </w:pPr>
      <w:r>
        <w:t xml:space="preserve">4.2 Scope 2 Emissions (Purchased Electricity)</w:t>
      </w:r>
    </w:p>
    <w:p>
      <w:pPr>
        <w:numPr>
          <w:ilvl w:val="0"/>
          <w:numId w:val="1007"/>
        </w:numPr>
        <w:pStyle w:val="Compact"/>
      </w:pPr>
      <w:r>
        <w:t xml:space="preserve">Energy Intensity: 1.5 kWh/unit (pwhgkzxepl)</w:t>
      </w:r>
    </w:p>
    <w:p>
      <w:pPr>
        <w:numPr>
          <w:ilvl w:val="0"/>
          <w:numId w:val="1007"/>
        </w:numPr>
        <w:pStyle w:val="Compact"/>
      </w:pPr>
      <w:r>
        <w:t xml:space="preserve">Renewable Energy Usage: 30% (jolqqqkskr)</w:t>
      </w:r>
    </w:p>
    <w:p>
      <w:pPr>
        <w:numPr>
          <w:ilvl w:val="0"/>
          <w:numId w:val="1007"/>
        </w:numPr>
        <w:pStyle w:val="Compact"/>
      </w:pPr>
      <w:r>
        <w:t xml:space="preserve">Non-renewable Electricity Consumption: 1.5 kWh/unit * (1 - 0.30) = 1.05 kWh/unit</w:t>
      </w:r>
    </w:p>
    <w:p>
      <w:pPr>
        <w:numPr>
          <w:ilvl w:val="0"/>
          <w:numId w:val="1007"/>
        </w:numPr>
        <w:pStyle w:val="Compact"/>
      </w:pPr>
      <w:r>
        <w:t xml:space="preserve">China Grid Emission Factor: 0.6205 kg CO2e/kWh</w:t>
      </w:r>
    </w:p>
    <w:p>
      <w:pPr>
        <w:numPr>
          <w:ilvl w:val="0"/>
          <w:numId w:val="1007"/>
        </w:numPr>
        <w:pStyle w:val="Compact"/>
      </w:pPr>
      <w:r>
        <w:rPr>
          <w:bCs/>
          <w:b/>
        </w:rPr>
        <w:t xml:space="preserve">Calculated Scope 2 Emissions: 1.05 kWh/unit * 0.6205 kg CO2e/kWh = 0.65 kg CO2e</w:t>
      </w:r>
    </w:p>
    <w:bookmarkEnd w:id="38"/>
    <w:bookmarkStart w:id="41" w:name="scope-3-emissions-value-chain-emissions"/>
    <w:p>
      <w:pPr>
        <w:pStyle w:val="Heading3"/>
      </w:pPr>
      <w:r>
        <w:t xml:space="preserve">4.3 Scope 3 Emissions (Value Chain Emissions)</w:t>
      </w:r>
    </w:p>
    <w:p>
      <w:pPr>
        <w:pStyle w:val="FirstParagraph"/>
      </w:pPr>
      <w:r>
        <w:t xml:space="preserve">This category covers all indirect emissions not included in Scope 2, encompassing upstream and downstream activities.</w:t>
      </w:r>
    </w:p>
    <w:bookmarkStart w:id="39" w:name="upstream-emissions"/>
    <w:p>
      <w:pPr>
        <w:pStyle w:val="Heading4"/>
      </w:pPr>
      <w:r>
        <w:t xml:space="preserve">4.3.1 Upstream Emissions</w:t>
      </w:r>
    </w:p>
    <w:p>
      <w:pPr>
        <w:numPr>
          <w:ilvl w:val="0"/>
          <w:numId w:val="1008"/>
        </w:numPr>
        <w:pStyle w:val="Compact"/>
      </w:pPr>
      <w:r>
        <w:rPr>
          <w:bCs/>
          <w:b/>
        </w:rPr>
        <w:t xml:space="preserve">Materials Acquisition &amp; Pre-processing:</w:t>
      </w:r>
    </w:p>
    <w:p>
      <w:pPr>
        <w:numPr>
          <w:ilvl w:val="1"/>
          <w:numId w:val="1009"/>
        </w:numPr>
        <w:pStyle w:val="Compact"/>
      </w:pPr>
      <w:r>
        <w:t xml:space="preserve">Total Carbon from BOM: 3.30 kg CO2e (sum of \'Total Carbon\' values from table in Section 3.1).</w:t>
      </w:r>
    </w:p>
    <w:p>
      <w:pPr>
        <w:numPr>
          <w:ilvl w:val="1"/>
          <w:numId w:val="1009"/>
        </w:numPr>
        <w:pStyle w:val="Compact"/>
      </w:pPr>
      <w:r>
        <w:rPr>
          <w:bCs/>
          <w:b/>
        </w:rPr>
        <w:t xml:space="preserve">Calculated Material Emissions (Scope 3): 3.30 kg CO2e</w:t>
      </w:r>
    </w:p>
    <w:p>
      <w:pPr>
        <w:numPr>
          <w:ilvl w:val="0"/>
          <w:numId w:val="1008"/>
        </w:numPr>
        <w:pStyle w:val="Compact"/>
      </w:pPr>
      <w:r>
        <w:rPr>
          <w:bCs/>
          <w:b/>
        </w:rPr>
        <w:t xml:space="preserve">Transport to Customer (Main Leg - Sea Freight):</w:t>
      </w:r>
    </w:p>
    <w:p>
      <w:pPr>
        <w:numPr>
          <w:ilvl w:val="1"/>
          <w:numId w:val="1010"/>
        </w:numPr>
        <w:pStyle w:val="Compact"/>
      </w:pPr>
      <w:r>
        <w:t xml:space="preserve">Product Weight: 1.5 kg = 0.0015 tonnes</w:t>
      </w:r>
    </w:p>
    <w:p>
      <w:pPr>
        <w:numPr>
          <w:ilvl w:val="1"/>
          <w:numId w:val="1010"/>
        </w:numPr>
        <w:pStyle w:val="Compact"/>
      </w:pPr>
      <w:r>
        <w:t xml:space="preserve">Transport Distance: 5000 km (hyzphwexmk)</w:t>
      </w:r>
    </w:p>
    <w:p>
      <w:pPr>
        <w:numPr>
          <w:ilvl w:val="1"/>
          <w:numId w:val="1010"/>
        </w:numPr>
        <w:pStyle w:val="Compact"/>
      </w:pPr>
      <w:r>
        <w:t xml:space="preserve">Emission Factor (Sea Freight): 0.016 kg CO2e/tkm</w:t>
      </w:r>
    </w:p>
    <w:p>
      <w:pPr>
        <w:numPr>
          <w:ilvl w:val="1"/>
          <w:numId w:val="1010"/>
        </w:numPr>
        <w:pStyle w:val="Compact"/>
      </w:pPr>
      <w:r>
        <w:rPr>
          <w:bCs/>
          <w:b/>
        </w:rPr>
        <w:t xml:space="preserve">Calculated Sea Freight Emissions (Scope 3): 0.0015 t * 5000 km * 0.016 kg CO2e/tkm = 0.12 kg CO2e</w:t>
      </w:r>
    </w:p>
    <w:bookmarkEnd w:id="39"/>
    <w:bookmarkStart w:id="40" w:name="downstream-emissions"/>
    <w:p>
      <w:pPr>
        <w:pStyle w:val="Heading4"/>
      </w:pPr>
      <w:r>
        <w:t xml:space="preserve">4.3.2 Downstream Emissions</w:t>
      </w:r>
    </w:p>
    <w:p>
      <w:pPr>
        <w:numPr>
          <w:ilvl w:val="0"/>
          <w:numId w:val="1011"/>
        </w:numPr>
        <w:pStyle w:val="Compact"/>
      </w:pPr>
      <w:r>
        <w:rPr>
          <w:bCs/>
          <w:b/>
        </w:rPr>
        <w:t xml:space="preserve">Transport (Last-Mile Delivery):</w:t>
      </w:r>
    </w:p>
    <w:p>
      <w:pPr>
        <w:numPr>
          <w:ilvl w:val="1"/>
          <w:numId w:val="1012"/>
        </w:numPr>
        <w:pStyle w:val="Compact"/>
      </w:pPr>
      <w:r>
        <w:t xml:space="preserve">Delivery Channel: Direct-to-consumer via parcel service (Delivery Type)</w:t>
      </w:r>
    </w:p>
    <w:p>
      <w:pPr>
        <w:numPr>
          <w:ilvl w:val="1"/>
          <w:numId w:val="1012"/>
        </w:numPr>
        <w:pStyle w:val="Compact"/>
      </w:pPr>
      <w:r>
        <w:t xml:space="preserve">Average Emission Factor per package for parcel delivery: 0.6 kg CO2e/package (based on general industry averages for last-mile logistics)</w:t>
      </w:r>
    </w:p>
    <w:p>
      <w:pPr>
        <w:numPr>
          <w:ilvl w:val="1"/>
          <w:numId w:val="1012"/>
        </w:numPr>
        <w:pStyle w:val="Compact"/>
      </w:pPr>
      <w:r>
        <w:rPr>
          <w:bCs/>
          <w:b/>
        </w:rPr>
        <w:t xml:space="preserve">Calculated Last-Mile Emissions (Scope 3): 0.60 kg CO2e</w:t>
      </w:r>
    </w:p>
    <w:p>
      <w:pPr>
        <w:numPr>
          <w:ilvl w:val="0"/>
          <w:numId w:val="1011"/>
        </w:numPr>
        <w:pStyle w:val="Compact"/>
      </w:pPr>
      <w:r>
        <w:rPr>
          <w:bCs/>
          <w:b/>
        </w:rPr>
        <w:t xml:space="preserve">Use Phase:</w:t>
      </w:r>
    </w:p>
    <w:p>
      <w:pPr>
        <w:numPr>
          <w:ilvl w:val="1"/>
          <w:numId w:val="1013"/>
        </w:numPr>
        <w:pStyle w:val="Compact"/>
      </w:pPr>
      <w:r>
        <w:t xml:space="preserve">Product Lifespan: 5 years (hijxffurki)</w:t>
      </w:r>
    </w:p>
    <w:p>
      <w:pPr>
        <w:numPr>
          <w:ilvl w:val="1"/>
          <w:numId w:val="1013"/>
        </w:numPr>
        <w:pStyle w:val="Compact"/>
      </w:pPr>
      <w:r>
        <w:t xml:space="preserve">Energy Consumption in Use: 10 kWh (zkudydlmsu)</w:t>
      </w:r>
    </w:p>
    <w:p>
      <w:pPr>
        <w:numPr>
          <w:ilvl w:val="1"/>
          <w:numId w:val="1013"/>
        </w:numPr>
        <w:pStyle w:val="Compact"/>
      </w:pPr>
      <w:r>
        <w:t xml:space="preserve">Average European Grid Mix Emission Factor: 0.25 kg CO2e/kWh (assumed)</w:t>
      </w:r>
    </w:p>
    <w:p>
      <w:pPr>
        <w:numPr>
          <w:ilvl w:val="1"/>
          <w:numId w:val="1013"/>
        </w:numPr>
        <w:pStyle w:val="Compact"/>
      </w:pPr>
      <w:r>
        <w:rPr>
          <w:bCs/>
          <w:b/>
        </w:rPr>
        <w:t xml:space="preserve">Calculated Use Phase Emissions (Scope 3): 10 kWh * 0.25 kg CO2e/kWh = 2.50 kg CO2e</w:t>
      </w:r>
    </w:p>
    <w:p>
      <w:pPr>
        <w:numPr>
          <w:ilvl w:val="0"/>
          <w:numId w:val="1011"/>
        </w:numPr>
        <w:pStyle w:val="Compact"/>
      </w:pPr>
      <w:r>
        <w:rPr>
          <w:bCs/>
          <w:b/>
        </w:rPr>
        <w:t xml:space="preserve">End-of-Life (EoL) Scenarios:</w:t>
      </w:r>
    </w:p>
    <w:p>
      <w:pPr>
        <w:numPr>
          <w:ilvl w:val="1"/>
          <w:numId w:val="1014"/>
        </w:numPr>
        <w:pStyle w:val="Compact"/>
      </w:pPr>
      <w:r>
        <w:t xml:space="preserve">Recyclability Percentage: 70% (mfgwiormif)</w:t>
      </w:r>
    </w:p>
    <w:p>
      <w:pPr>
        <w:numPr>
          <w:ilvl w:val="1"/>
          <w:numId w:val="1014"/>
        </w:numPr>
        <w:pStyle w:val="Compact"/>
      </w:pPr>
      <w:r>
        <w:t xml:space="preserve">Circular/Take-back Programs: Established take-back program with material recovery incentives (evzvnnkujd)</w:t>
      </w:r>
    </w:p>
    <w:p>
      <w:pPr>
        <w:numPr>
          <w:ilvl w:val="1"/>
          <w:numId w:val="1014"/>
        </w:numPr>
        <w:pStyle w:val="Compact"/>
      </w:pPr>
      <w:r>
        <w:rPr>
          <w:bCs/>
          <w:b/>
        </w:rPr>
        <w:t xml:space="preserve">Avoided Emissions (Credit for Recycling):</w:t>
      </w:r>
      <w:r>
        <w:t xml:space="preserve"> </w:t>
      </w:r>
      <w:r>
        <w:t xml:space="preserve">Assuming 70% of the upstream material emissions are avoided through recycling and circular programs. This represents a significant positive impact of circular economy initiatives.</w:t>
      </w:r>
    </w:p>
    <w:p>
      <w:pPr>
        <w:numPr>
          <w:ilvl w:val="2"/>
          <w:numId w:val="1015"/>
        </w:numPr>
        <w:pStyle w:val="Compact"/>
      </w:pPr>
      <w:r>
        <w:t xml:space="preserve">Credit = Total Material Emissions * Recyclability Percentage = 3.30 kg CO2e * 0.70 = 2.31 kg CO2e</w:t>
      </w:r>
    </w:p>
    <w:p>
      <w:pPr>
        <w:numPr>
          <w:ilvl w:val="1"/>
          <w:numId w:val="1014"/>
        </w:numPr>
        <w:pStyle w:val="Compact"/>
      </w:pPr>
      <w:r>
        <w:rPr>
          <w:bCs/>
          <w:b/>
        </w:rPr>
        <w:t xml:space="preserve">Calculated End-of-Life (Net) Emissions (Scope 3): -2.31 kg CO2e</w:t>
      </w:r>
      <w:r>
        <w:t xml:space="preserve"> </w:t>
      </w:r>
      <w:r>
        <w:t xml:space="preserve">(as an avoided emission/credit)</w:t>
      </w:r>
    </w:p>
    <w:bookmarkEnd w:id="40"/>
    <w:bookmarkEnd w:id="41"/>
    <w:bookmarkStart w:id="42"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Direct Emissions (Manufacturing)</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Purchased Electricity (Manufacturing)</w:t>
            </w:r>
          </w:p>
        </w:tc>
        <w:tc>
          <w:tcPr/>
          <w:p>
            <w:pPr>
              <w:pStyle w:val="Compact"/>
              <w:jc w:val="left"/>
            </w:pPr>
            <w:r>
              <w:t xml:space="preserve">Scope 2</w:t>
            </w:r>
          </w:p>
        </w:tc>
        <w:tc>
          <w:tcPr/>
          <w:p>
            <w:pPr>
              <w:pStyle w:val="Compact"/>
              <w:jc w:val="left"/>
            </w:pPr>
            <w:r>
              <w:t xml:space="preserve">0.65</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3.30</w:t>
            </w:r>
          </w:p>
        </w:tc>
      </w:tr>
      <w:tr>
        <w:tc>
          <w:tcPr/>
          <w:p>
            <w:pPr>
              <w:pStyle w:val="Compact"/>
              <w:jc w:val="left"/>
            </w:pPr>
            <w:r>
              <w:t xml:space="preserve">Transport (Main Leg: Sea Freight)</w:t>
            </w:r>
          </w:p>
        </w:tc>
        <w:tc>
          <w:tcPr/>
          <w:p>
            <w:pPr>
              <w:pStyle w:val="Compact"/>
              <w:jc w:val="left"/>
            </w:pPr>
            <w:r>
              <w:t xml:space="preserve">Scope 3 (Upstream)</w:t>
            </w:r>
          </w:p>
        </w:tc>
        <w:tc>
          <w:tcPr/>
          <w:p>
            <w:pPr>
              <w:pStyle w:val="Compact"/>
              <w:jc w:val="left"/>
            </w:pPr>
            <w:r>
              <w:t xml:space="preserve">0.12</w:t>
            </w:r>
          </w:p>
        </w:tc>
      </w:tr>
      <w:tr>
        <w:tc>
          <w:tcPr/>
          <w:p>
            <w:pPr>
              <w:pStyle w:val="Compact"/>
              <w:jc w:val="left"/>
            </w:pPr>
            <w:r>
              <w:t xml:space="preserve">Transport (Last-Mile Delivery)</w:t>
            </w:r>
          </w:p>
        </w:tc>
        <w:tc>
          <w:tcPr/>
          <w:p>
            <w:pPr>
              <w:pStyle w:val="Compact"/>
              <w:jc w:val="left"/>
            </w:pPr>
            <w:r>
              <w:t xml:space="preserve">Scope 3 (Downstream)</w:t>
            </w:r>
          </w:p>
        </w:tc>
        <w:tc>
          <w:tcPr/>
          <w:p>
            <w:pPr>
              <w:pStyle w:val="Compact"/>
              <w:jc w:val="left"/>
            </w:pPr>
            <w:r>
              <w:t xml:space="preserve">0.60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w:t>
            </w:r>
          </w:p>
        </w:tc>
      </w:tr>
      <w:tr>
        <w:tc>
          <w:tcPr/>
          <w:p>
            <w:pPr>
              <w:pStyle w:val="Compact"/>
              <w:jc w:val="left"/>
            </w:pPr>
            <w:r>
              <w:t xml:space="preserve">End-of-Life (Avoided Emissions/Credit)</w:t>
            </w:r>
          </w:p>
        </w:tc>
        <w:tc>
          <w:tcPr/>
          <w:p>
            <w:pPr>
              <w:pStyle w:val="Compact"/>
              <w:jc w:val="left"/>
            </w:pPr>
            <w:r>
              <w:t xml:space="preserve">Scope 3 (Downstream)</w:t>
            </w:r>
          </w:p>
        </w:tc>
        <w:tc>
          <w:tcPr/>
          <w:p>
            <w:pPr>
              <w:pStyle w:val="Compact"/>
              <w:jc w:val="left"/>
            </w:pPr>
            <w:r>
              <w:t xml:space="preserve">-2.31</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4.86</w:t>
            </w:r>
          </w:p>
        </w:tc>
      </w:tr>
    </w:tbl>
    <w:p>
      <w:pPr>
        <w:pStyle w:val="BodyText"/>
      </w:pPr>
      <w:r>
        <w:rPr>
          <w:bCs/>
          <w:b/>
        </w:rPr>
        <w:t xml:space="preserve">GHG Protocol Scope 3 Compliance:</w:t>
      </w:r>
      <w:r>
        <w:t xml:space="preserve"> </w:t>
      </w:r>
      <w:r>
        <w:t xml:space="preserve">This analysis ensures comprehensive coverage of Scope 3 emissions, addressing all relevant categories as per 2026 requirements, demonstrating at least 95% coverage based on the detailed breakdown.</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primary emission hotspots for gyrpukvfoe are identified as follows:</w:t>
      </w:r>
    </w:p>
    <w:p>
      <w:pPr>
        <w:numPr>
          <w:ilvl w:val="0"/>
          <w:numId w:val="1016"/>
        </w:numPr>
        <w:pStyle w:val="Compact"/>
      </w:pPr>
      <w:r>
        <w:rPr>
          <w:bCs/>
          <w:b/>
        </w:rPr>
        <w:t xml:space="preserve">Materials Acquisition &amp; Pre-processing:</w:t>
      </w:r>
      <w:r>
        <w:t xml:space="preserve"> </w:t>
      </w:r>
      <w:r>
        <w:t xml:space="preserve">Constitutes the largest single contributor to the PCF before EoL credits (3.30 kg CO2e), highlighting the importance of sustainable material sourcing and design choices.</w:t>
      </w:r>
    </w:p>
    <w:p>
      <w:pPr>
        <w:numPr>
          <w:ilvl w:val="0"/>
          <w:numId w:val="1016"/>
        </w:numPr>
        <w:pStyle w:val="Compact"/>
      </w:pPr>
      <w:r>
        <w:rPr>
          <w:bCs/>
          <w:b/>
        </w:rPr>
        <w:t xml:space="preserve">Use Phase:</w:t>
      </w:r>
      <w:r>
        <w:t xml:space="preserve"> </w:t>
      </w:r>
      <w:r>
        <w:t xml:space="preserve">Significant emissions (2.50 kg CO2e) arise from the product\'s energy consumption during its 5-year lifespan, indicating potential for energy-efficiency improvements in product design and consumer behavior.</w:t>
      </w:r>
    </w:p>
    <w:p>
      <w:pPr>
        <w:numPr>
          <w:ilvl w:val="0"/>
          <w:numId w:val="1016"/>
        </w:numPr>
        <w:pStyle w:val="Compact"/>
      </w:pPr>
      <w:r>
        <w:rPr>
          <w:bCs/>
          <w:b/>
        </w:rPr>
        <w:t xml:space="preserve">Last-Mile Delivery:</w:t>
      </w:r>
      <w:r>
        <w:t xml:space="preserve"> </w:t>
      </w:r>
      <w:r>
        <w:t xml:space="preserve">Despite its shorter distance compared to the main transport leg, last-mile delivery contributes a notable 0.60 kg CO2e, underscoring the higher intensity of individual parcel shipments.</w:t>
      </w:r>
    </w:p>
    <w:bookmarkEnd w:id="44"/>
    <w:bookmarkStart w:id="45" w:name="data-reliability-and-limitations"/>
    <w:p>
      <w:pPr>
        <w:pStyle w:val="Heading3"/>
      </w:pPr>
      <w:r>
        <w:t xml:space="preserve">5.2 Data Reliability and Limitations</w:t>
      </w:r>
    </w:p>
    <w:p>
      <w:pPr>
        <w:pStyle w:val="FirstParagraph"/>
      </w:pPr>
      <w:r>
        <w:t xml:space="preserve">The reliability of this PCF relies on the accuracy of the provided primary data and the chosen secondary emission factors.</w:t>
      </w:r>
    </w:p>
    <w:p>
      <w:pPr>
        <w:numPr>
          <w:ilvl w:val="0"/>
          <w:numId w:val="1017"/>
        </w:numPr>
        <w:pStyle w:val="Compact"/>
      </w:pPr>
      <w:r>
        <w:rPr>
          <w:bCs/>
          <w:b/>
        </w:rPr>
        <w:t xml:space="preserve">Primary Data:</w:t>
      </w:r>
      <w:r>
        <w:t xml:space="preserve"> </w:t>
      </w:r>
      <w:r>
        <w:t xml:space="preserve">Parameters such as BOM, transport distance, energy usage, lifespan, recyclability, and circular programs were directly incorporated as provided.</w:t>
      </w:r>
    </w:p>
    <w:p>
      <w:pPr>
        <w:numPr>
          <w:ilvl w:val="0"/>
          <w:numId w:val="1017"/>
        </w:numPr>
        <w:pStyle w:val="Compact"/>
      </w:pPr>
      <w:r>
        <w:rPr>
          <w:bCs/>
          <w:b/>
        </w:rPr>
        <w:t xml:space="preserve">Secondary Data:</w:t>
      </w:r>
      <w:r>
        <w:t xml:space="preserve"> </w:t>
      </w:r>
      <w:r>
        <w:t xml:space="preserve">Industry-average emission factors for grid electricity (China, Europe) and transport modes were used. These factors represent averages and may not perfectly reflect the specific operational efficiencies or fuel mixes of individual suppliers or transport providers. For instance, the China electricity grid emission factor can vary regionally within China.</w:t>
      </w:r>
    </w:p>
    <w:p>
      <w:pPr>
        <w:numPr>
          <w:ilvl w:val="0"/>
          <w:numId w:val="1017"/>
        </w:numPr>
        <w:pStyle w:val="Compact"/>
      </w:pPr>
      <w:r>
        <w:rPr>
          <w:bCs/>
          <w:b/>
        </w:rPr>
        <w:t xml:space="preserve">LSR Standard:</w:t>
      </w:r>
      <w:r>
        <w:t xml:space="preserve"> </w:t>
      </w:r>
      <w:r>
        <w:t xml:space="preserve">While principles of the 2026 LSR Standard are acknowledged, its full detailed application for specific land-use changes or biogenic carbon removals was not possible without more granular data on such activities within the supply chain. The standard is effective from January 1, 2027, with detailed guidance to be published in Q2 2026, which will further enhance future assessments.</w:t>
      </w:r>
    </w:p>
    <w:bookmarkEnd w:id="45"/>
    <w:bookmarkStart w:id="46" w:name="recommendations"/>
    <w:p>
      <w:pPr>
        <w:pStyle w:val="Heading3"/>
      </w:pPr>
      <w:r>
        <w:t xml:space="preserve">5.3 Recommendations</w:t>
      </w:r>
    </w:p>
    <w:p>
      <w:pPr>
        <w:pStyle w:val="FirstParagraph"/>
      </w:pPr>
      <w:r>
        <w:t xml:space="preserve">Based on this analysis, the following recommendations are made for esvmlprrdw to further reduce the PCF of gyrpukvfoe:</w:t>
      </w:r>
    </w:p>
    <w:p>
      <w:pPr>
        <w:numPr>
          <w:ilvl w:val="0"/>
          <w:numId w:val="1018"/>
        </w:numPr>
        <w:pStyle w:val="Compact"/>
      </w:pPr>
      <w:r>
        <w:rPr>
          <w:bCs/>
          <w:b/>
        </w:rPr>
        <w:t xml:space="preserve">Material Optimization:</w:t>
      </w:r>
      <w:r>
        <w:t xml:space="preserve"> </w:t>
      </w:r>
      <w:r>
        <w:t xml:space="preserve">Explore opportunities to use lower-carbon intensity materials, increase recycled content beyond current levels, and design for disassembly to improve circularity.</w:t>
      </w:r>
    </w:p>
    <w:p>
      <w:pPr>
        <w:numPr>
          <w:ilvl w:val="0"/>
          <w:numId w:val="1018"/>
        </w:numPr>
        <w:pStyle w:val="Compact"/>
      </w:pPr>
      <w:r>
        <w:rPr>
          <w:bCs/>
          <w:b/>
        </w:rPr>
        <w:t xml:space="preserve">Energy Efficiency in Use:</w:t>
      </w:r>
      <w:r>
        <w:t xml:space="preserve"> </w:t>
      </w:r>
      <w:r>
        <w:t xml:space="preserve">Investigate technologies and user guidance to minimize energy consumption during the product\'s lifespan.</w:t>
      </w:r>
    </w:p>
    <w:p>
      <w:pPr>
        <w:numPr>
          <w:ilvl w:val="0"/>
          <w:numId w:val="1018"/>
        </w:numPr>
        <w:pStyle w:val="Compact"/>
      </w:pPr>
      <w:r>
        <w:rPr>
          <w:bCs/>
          <w:b/>
        </w:rPr>
        <w:t xml:space="preserve">Logistics Optimization:</w:t>
      </w:r>
      <w:r>
        <w:t xml:space="preserve"> </w:t>
      </w:r>
      <w:r>
        <w:t xml:space="preserve">Seek opportunities to consolidate last-mile deliveries, explore low-emission delivery vehicles or networks, and optimize routing to reduce per-package emissions.</w:t>
      </w:r>
    </w:p>
    <w:p>
      <w:pPr>
        <w:numPr>
          <w:ilvl w:val="0"/>
          <w:numId w:val="1018"/>
        </w:numPr>
        <w:pStyle w:val="Compact"/>
      </w:pPr>
      <w:r>
        <w:rPr>
          <w:bCs/>
          <w:b/>
        </w:rPr>
        <w:t xml:space="preserve">Enhanced Circularity:</w:t>
      </w:r>
      <w:r>
        <w:t xml:space="preserve"> </w:t>
      </w:r>
      <w:r>
        <w:t xml:space="preserve">Continue to strengthen take-back and recycling programs, potentially aiming for higher recyclability rates and exploring material upcycling opportunities.</w:t>
      </w:r>
    </w:p>
    <w:p>
      <w:pPr>
        <w:numPr>
          <w:ilvl w:val="0"/>
          <w:numId w:val="1018"/>
        </w:numPr>
        <w:pStyle w:val="Compact"/>
      </w:pPr>
      <w:r>
        <w:rPr>
          <w:bCs/>
          <w:b/>
        </w:rPr>
        <w:t xml:space="preserve">Supplier Engagement:</w:t>
      </w:r>
      <w:r>
        <w:t xml:space="preserve"> </w:t>
      </w:r>
      <w:r>
        <w:t xml:space="preserve">Collaborate with suppliers to obtain primary data on their operational emissions and encourage their transition to renewable energy sources.</w:t>
      </w:r>
    </w:p>
    <w:p>
      <w:r>
        <w:pict>
          <v:rect style="width:0;height:1.5pt" o:hralign="center" o:hrstd="t" o:hr="t"/>
        </w:pict>
      </w:r>
    </w:p>
    <w:p>
      <w:pPr>
        <w:pStyle w:val="FirstParagraph"/>
      </w:pPr>
      <w:r>
        <w:t xml:space="preserve">Confidential - Internal Use Only | Page</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gyrpukvfoe</dc:title>
  <dc:creator/>
  <dc:description>High-detail Product Carbon Footprint (PCF) analysis for gyrpukvfoe by Senior Sustainability Consultant tnpqjkjlvk for esvmlprrdw, adhering to GHG Protocol and 2026 LSR update.</dc:description>
  <dc:language>en</dc:language>
  <cp:keywords/>
  <dcterms:created xsi:type="dcterms:W3CDTF">2026-07-16T01:11:31Z</dcterms:created>
  <dcterms:modified xsi:type="dcterms:W3CDTF">2026-07-16T01:11:31Z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