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gyifstvnqg</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gyifstvnqg</w:t>
      </w:r>
    </w:p>
    <w:p>
      <w:pPr>
        <w:pStyle w:val="BodyText"/>
      </w:pPr>
      <w:r>
        <w:t xml:space="preserve">Company: vqisuzzpnd</w:t>
      </w:r>
    </w:p>
    <w:p>
      <w:pPr>
        <w:pStyle w:val="BodyText"/>
      </w:pPr>
      <w:r>
        <w:t xml:space="preserve">Accounting Standard: GHG Protocol</w:t>
      </w:r>
    </w:p>
    <w:p>
      <w:pPr>
        <w:pStyle w:val="BodyText"/>
      </w:pPr>
      <w:r>
        <w:t xml:space="preserve">Senior Sustainability Consultant: huwethsdtl</w:t>
      </w:r>
    </w:p>
    <w:p>
      <w:pPr>
        <w:pStyle w:val="BodyText"/>
      </w:pPr>
      <w:r>
        <w:t xml:space="preserve">This report is generated based on available data and industry standards. It provides an estimation of the product\'s carbon footprint and should be used for internal strategic planning and improvement purposes.</w:t>
      </w:r>
    </w:p>
    <w:bookmarkEnd w:id="20"/>
    <w:bookmarkStart w:id="21" w:name="product-carbon-footprint-report-1"/>
    <w:p>
      <w:pPr>
        <w:pStyle w:val="Heading1"/>
      </w:pPr>
      <w:r>
        <w:t xml:space="preserve">Product Carbon Footprint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gyifstvnqg</w:t>
      </w:r>
      <w:r>
        <w:t xml:space="preserve">, manufactured by</w:t>
      </w:r>
      <w:r>
        <w:t xml:space="preserve"> </w:t>
      </w:r>
      <w:r>
        <w:rPr>
          <w:bCs/>
          <w:b/>
        </w:rPr>
        <w:t xml:space="preserve">vqisuzzpnd</w:t>
      </w:r>
      <w:r>
        <w:t xml:space="preserve">. The analysis strictly adheres to the GHG Protocol Product Life Cycle Accounting and Reporting Standard, including the 2026 Land Sector and Removals (LSR) update, and aims for at least 95% coverage for Scope 3 emissions. Conducted by Senior Sustainability Consultant</w:t>
      </w:r>
      <w:r>
        <w:t xml:space="preserve"> </w:t>
      </w:r>
      <w:r>
        <w:rPr>
          <w:bCs/>
          <w:b/>
        </w:rPr>
        <w:t xml:space="preserve">huwethsdtl</w:t>
      </w:r>
      <w:r>
        <w:t xml:space="preserve">, this study evaluates greenhouse gas (GHG) emissions across the product\'s entire lifecycle, from material acquisition to end-of-life, to identify significant emission hotspots and provide actionable insights for sustainability improvements. The geographic scope focuses on a final production country in China with a supply chain emphasis on Europe.</w:t>
      </w:r>
    </w:p>
    <w:bookmarkEnd w:id="22"/>
    <w:p>
      <w:r>
        <w:pict>
          <v:rect style="width:0;height:1.5pt" o:hralign="center" o:hrstd="t" o:hr="t"/>
        </w:pict>
      </w:r>
    </w:p>
    <w:bookmarkStart w:id="29" w:name="methodology-and-approach"/>
    <w:p>
      <w:pPr>
        <w:pStyle w:val="Heading2"/>
      </w:pPr>
      <w:r>
        <w:t xml:space="preserve">1. Methodology and Approach</w:t>
      </w:r>
    </w:p>
    <w:p>
      <w:pPr>
        <w:pStyle w:val="FirstParagraph"/>
      </w:pPr>
      <w:r>
        <w:t xml:space="preserve">The Product Carbon Footprint (PCF) analysis for</w:t>
      </w:r>
      <w:r>
        <w:t xml:space="preserve"> </w:t>
      </w:r>
      <w:r>
        <w:rPr>
          <w:bCs/>
          <w:b/>
        </w:rPr>
        <w:t xml:space="preserve">gyifstvnqg</w:t>
      </w:r>
      <w:r>
        <w:t xml:space="preserve"> </w:t>
      </w:r>
      <w:r>
        <w:t xml:space="preserve">follows a robust five-step methodology, aligned with international best practices and the GHG Protocol Product Standard.</w:t>
      </w:r>
    </w:p>
    <w:bookmarkStart w:id="23" w:name="define-scope"/>
    <w:p>
      <w:pPr>
        <w:pStyle w:val="Heading3"/>
      </w:pPr>
      <w:r>
        <w:t xml:space="preserve">1.1. Define Scope</w:t>
      </w:r>
    </w:p>
    <w:p>
      <w:pPr>
        <w:pStyle w:val="FirstParagraph"/>
      </w:pPr>
      <w:r>
        <w:t xml:space="preserve">This initial step establishes the foundational parameters for the PCF study:</w:t>
      </w:r>
    </w:p>
    <w:p>
      <w:pPr>
        <w:numPr>
          <w:ilvl w:val="0"/>
          <w:numId w:val="1001"/>
        </w:numPr>
        <w:pStyle w:val="Compact"/>
      </w:pPr>
      <w:r>
        <w:rPr>
          <w:bCs/>
          <w:b/>
        </w:rPr>
        <w:t xml:space="preserve">Functional Unit:</w:t>
      </w:r>
      <w:r>
        <w:t xml:space="preserve"> </w:t>
      </w:r>
      <w:r>
        <w:t xml:space="preserve">1.0 unit of</w:t>
      </w:r>
      <w:r>
        <w:t xml:space="preserve"> </w:t>
      </w:r>
      <w:r>
        <w:rPr>
          <w:bCs/>
          <w:b/>
        </w:rPr>
        <w:t xml:space="preserve">gyifstvnqg</w:t>
      </w:r>
      <w:r>
        <w:t xml:space="preserve">. This defines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implies that the analysis covers all processes from raw material extraction, through manufacturing, up to the point the finished product leaves the factory gates. While the primary system boundary is \'factory-gate\' for direct calculation, the report extends to include downstream transport, use phase, and end-of-life to meet comprehensive GHG Protocol Scope 3 requirements.</w:t>
      </w:r>
    </w:p>
    <w:p>
      <w:pPr>
        <w:numPr>
          <w:ilvl w:val="0"/>
          <w:numId w:val="1001"/>
        </w:numPr>
        <w:pStyle w:val="Compact"/>
      </w:pPr>
      <w:r>
        <w:rPr>
          <w:bCs/>
          <w:b/>
        </w:rPr>
        <w:t xml:space="preserve">Geographic Scope:</w:t>
      </w:r>
      <w:r>
        <w:t xml:space="preserve"> </w:t>
      </w:r>
      <w:r>
        <w:t xml:space="preserve">Final Production Country: China, with a Supply Chain Focus: Europe. This dual focus acknowledges the primary manufacturing location while capturing the significant upstream impacts from European suppliers.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w:t>
      </w:r>
      <w:r>
        <w:t xml:space="preserve"> </w:t>
      </w:r>
      <w:r>
        <w:rPr>
          <w:bCs/>
          <w:b/>
        </w:rPr>
        <w:t xml:space="preserve">gyifstvnqg</w:t>
      </w:r>
      <w:r>
        <w:t xml:space="preserve">. Co-product allocation will follow GHG Protocol recommendations (e.g., physical relationships) if applicable, though not explicitly detailed without specific co-product information.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Scope 2 (indirect emissions from purchased energy), and Scope 3 (all other indirect emissions in the value chain).</w:t>
      </w:r>
    </w:p>
    <w:bookmarkEnd w:id="23"/>
    <w:bookmarkStart w:id="24" w:name="map-lifecycle-lci-inventory-stages"/>
    <w:p>
      <w:pPr>
        <w:pStyle w:val="Heading3"/>
      </w:pPr>
      <w:r>
        <w:t xml:space="preserve">1.2. Map Lifecycle (LCI Inventory Stages)</w:t>
      </w:r>
    </w:p>
    <w:p>
      <w:pPr>
        <w:pStyle w:val="FirstParagraph"/>
      </w:pPr>
      <w:r>
        <w:t xml:space="preserve">The lifecycle of</w:t>
      </w:r>
      <w:r>
        <w:t xml:space="preserve"> </w:t>
      </w:r>
      <w:r>
        <w:rPr>
          <w:bCs/>
          <w:b/>
        </w:rPr>
        <w:t xml:space="preserve">gyifstvnqg</w:t>
      </w:r>
      <w:r>
        <w:t xml:space="preserve"> </w:t>
      </w:r>
      <w:r>
        <w:t xml:space="preserve">is mapped into distinct stages to systematically identify and quantify all relevant inputs and outputs:</w:t>
      </w:r>
    </w:p>
    <w:p>
      <w:pPr>
        <w:numPr>
          <w:ilvl w:val="0"/>
          <w:numId w:val="1002"/>
        </w:numPr>
        <w:pStyle w:val="Compact"/>
      </w:pPr>
      <w:r>
        <w:rPr>
          <w:bCs/>
          <w:b/>
        </w:rPr>
        <w:t xml:space="preserve">Material Acquisition &amp; Pre-processing:</w:t>
      </w:r>
      <w:r>
        <w:t xml:space="preserve"> </w:t>
      </w:r>
      <w:r>
        <w:t xml:space="preserve">Extraction, processing, and refining of raw materials (e.g., metals, plastics) used in the Bill of Materials (BOM).</w:t>
      </w:r>
    </w:p>
    <w:p>
      <w:pPr>
        <w:numPr>
          <w:ilvl w:val="0"/>
          <w:numId w:val="1002"/>
        </w:numPr>
        <w:pStyle w:val="Compact"/>
      </w:pPr>
      <w:r>
        <w:rPr>
          <w:bCs/>
          <w:b/>
        </w:rPr>
        <w:t xml:space="preserve">Manufacturing:</w:t>
      </w:r>
      <w:r>
        <w:t xml:space="preserve"> </w:t>
      </w:r>
      <w:r>
        <w:t xml:space="preserve">Production processes at the</w:t>
      </w:r>
      <w:r>
        <w:t xml:space="preserve"> </w:t>
      </w:r>
      <w:r>
        <w:rPr>
          <w:bCs/>
          <w:b/>
        </w:rPr>
        <w:t xml:space="preserve">vqisuzzpnd</w:t>
      </w:r>
      <w:r>
        <w:t xml:space="preserve"> </w:t>
      </w:r>
      <w:r>
        <w:t xml:space="preserve">facility in China, including energy consumption, process emissions, and waste generation.</w:t>
      </w:r>
    </w:p>
    <w:p>
      <w:pPr>
        <w:numPr>
          <w:ilvl w:val="0"/>
          <w:numId w:val="1002"/>
        </w:numPr>
        <w:pStyle w:val="Compact"/>
      </w:pPr>
      <w:r>
        <w:rPr>
          <w:bCs/>
          <w:b/>
        </w:rPr>
        <w:t xml:space="preserve">Transport (Upstream):</w:t>
      </w:r>
      <w:r>
        <w:t xml:space="preserve"> </w:t>
      </w:r>
      <w:r>
        <w:t xml:space="preserve">Transportation of raw materials and components from suppliers (Europe Focused) to the manufacturing facility.</w:t>
      </w:r>
    </w:p>
    <w:p>
      <w:pPr>
        <w:numPr>
          <w:ilvl w:val="0"/>
          <w:numId w:val="1002"/>
        </w:numPr>
        <w:pStyle w:val="Compact"/>
      </w:pPr>
      <w:r>
        <w:rPr>
          <w:bCs/>
          <w:b/>
        </w:rPr>
        <w:t xml:space="preserve">Transport (Downstream):</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w:t>
      </w:r>
      <w:r>
        <w:t xml:space="preserve"> </w:t>
      </w:r>
      <w:r>
        <w:t xml:space="preserve">Energy consumption and any other emissions associated with the product during its lifespan (</w:t>
      </w:r>
      <w:r>
        <w:rPr>
          <w:bCs/>
          <w:b/>
        </w:rPr>
        <w:t xml:space="preserve">lupvjideik</w:t>
      </w:r>
      <w:r>
        <w:t xml:space="preserve">).</w:t>
      </w:r>
    </w:p>
    <w:p>
      <w:pPr>
        <w:numPr>
          <w:ilvl w:val="0"/>
          <w:numId w:val="1002"/>
        </w:numPr>
        <w:pStyle w:val="Compact"/>
      </w:pPr>
      <w:r>
        <w:rPr>
          <w:bCs/>
          <w:b/>
        </w:rPr>
        <w:t xml:space="preserve">End-of-Life (EoL):</w:t>
      </w:r>
      <w:r>
        <w:t xml:space="preserve"> </w:t>
      </w:r>
      <w:r>
        <w:t xml:space="preserve">Collection, sorting, recycling, waste treatment, and disposal processes at the end of the product\'s life.</w:t>
      </w:r>
    </w:p>
    <w:p>
      <w:pPr>
        <w:numPr>
          <w:ilvl w:val="0"/>
          <w:numId w:val="1002"/>
        </w:numPr>
        <w:pStyle w:val="Compact"/>
      </w:pPr>
      <w:r>
        <w:rPr>
          <w:bCs/>
          <w:b/>
        </w:rPr>
        <w:t xml:space="preserve">Land Sector and Removals (LSR):</w:t>
      </w:r>
      <w:r>
        <w:t xml:space="preserve"> </w:t>
      </w:r>
      <w:r>
        <w:t xml:space="preserve">Accounting for land use change emissions and potential carbon removals as per the 2026 LSR Standard update.</w:t>
      </w:r>
    </w:p>
    <w:bookmarkEnd w:id="24"/>
    <w:bookmarkStart w:id="26" w:name="collect-data"/>
    <w:p>
      <w:pPr>
        <w:pStyle w:val="Heading3"/>
      </w:pPr>
      <w:r>
        <w:t xml:space="preserve">1.3. Collect Data</w:t>
      </w:r>
    </w:p>
    <w:p>
      <w:pPr>
        <w:pStyle w:val="FirstParagraph"/>
      </w:pPr>
      <w:r>
        <w:t xml:space="preserve">Both primary and secondary data are collected to ensure accuracy:</w:t>
      </w:r>
    </w:p>
    <w:p>
      <w:pPr>
        <w:numPr>
          <w:ilvl w:val="0"/>
          <w:numId w:val="1003"/>
        </w:numPr>
        <w:pStyle w:val="Compact"/>
      </w:pPr>
      <w:r>
        <w:rPr>
          <w:bCs/>
          <w:b/>
        </w:rPr>
        <w:t xml:space="preserve">Primary Data:</w:t>
      </w:r>
      <w:r>
        <w:t xml:space="preserve"> </w:t>
      </w:r>
      <w:r>
        <w:t xml:space="preserve">Specific operational data from</w:t>
      </w:r>
      <w:r>
        <w:t xml:space="preserve"> </w:t>
      </w:r>
      <w:r>
        <w:rPr>
          <w:bCs/>
          <w:b/>
        </w:rPr>
        <w:t xml:space="preserve">vqisuzzpnd</w:t>
      </w:r>
      <w:r>
        <w:t xml:space="preserve">, including production energy consumption (</w:t>
      </w:r>
      <w:r>
        <w:rPr>
          <w:bCs/>
          <w:b/>
        </w:rPr>
        <w:t xml:space="preserve">eyhphrnwky</w:t>
      </w:r>
      <w:r>
        <w:t xml:space="preserve"> </w:t>
      </w:r>
      <w:r>
        <w:t xml:space="preserve">kWh/unit), renewable energy usage (</w:t>
      </w:r>
      <w:r>
        <w:rPr>
          <w:bCs/>
          <w:b/>
        </w:rPr>
        <w:t xml:space="preserve">jlgoxsnmjm</w:t>
      </w:r>
      <w:r>
        <w:t xml:space="preserve">), product lifespan (</w:t>
      </w:r>
      <w:r>
        <w:rPr>
          <w:bCs/>
          <w:b/>
        </w:rPr>
        <w:t xml:space="preserve">lupvjideik</w:t>
      </w:r>
      <w:r>
        <w:t xml:space="preserve">), energy consumption in use (</w:t>
      </w:r>
      <w:r>
        <w:rPr>
          <w:bCs/>
          <w:b/>
        </w:rPr>
        <w:t xml:space="preserve">rfxfrwmjze</w:t>
      </w:r>
      <w:r>
        <w:t xml:space="preserve">), recyclability percentage (</w:t>
      </w:r>
      <w:r>
        <w:rPr>
          <w:bCs/>
          <w:b/>
        </w:rPr>
        <w:t xml:space="preserve">xxxoypxeyi</w:t>
      </w:r>
      <w:r>
        <w:t xml:space="preserve">), and circular/take-back programs (</w:t>
      </w:r>
      <w:r>
        <w:rPr>
          <w:bCs/>
          <w:b/>
        </w:rPr>
        <w:t xml:space="preserve">ymlshlttzh</w:t>
      </w:r>
      <w:r>
        <w:t xml:space="preserve">).</w:t>
      </w:r>
    </w:p>
    <w:p>
      <w:pPr>
        <w:numPr>
          <w:ilvl w:val="0"/>
          <w:numId w:val="1003"/>
        </w:numPr>
        <w:pStyle w:val="Compact"/>
      </w:pPr>
      <w:r>
        <w:rPr>
          <w:bCs/>
          <w:b/>
        </w:rPr>
        <w:t xml:space="preserve">Detailed Bill of Materials (BOM):</w:t>
      </w:r>
      <w:r>
        <w:t xml:space="preserve"> </w:t>
      </w:r>
      <w:r>
        <w:t xml:space="preserve">The provided</w:t>
      </w:r>
      <w:r>
        <w:t xml:space="preserve"> </w:t>
      </w:r>
      <w:r>
        <w:rPr>
          <w:bCs/>
          <w:b/>
        </w:rPr>
        <w:t xml:space="preserve">hzndsutq</w:t>
      </w:r>
      <w:r>
        <w:t xml:space="preserve"> </w:t>
      </w:r>
      <w:r>
        <w:t xml:space="preserve">data is crucial for high-accuracy material impact calculation. This includes specific item IDs, descriptions, categories, processes, quantities, units, and pre-calculated emission factors and total carbon for each material.</w:t>
      </w:r>
    </w:p>
    <w:p>
      <w:pPr>
        <w:numPr>
          <w:ilvl w:val="0"/>
          <w:numId w:val="1003"/>
        </w:numPr>
        <w:pStyle w:val="Compact"/>
      </w:pPr>
      <w:r>
        <w:rPr>
          <w:bCs/>
          <w:b/>
        </w:rPr>
        <w:t xml:space="preserve">Logistics Data:</w:t>
      </w:r>
      <w:r>
        <w:t xml:space="preserve"> </w:t>
      </w:r>
      <w:r>
        <w:t xml:space="preserve">Specific transport mode (</w:t>
      </w:r>
      <w:r>
        <w:rPr>
          <w:bCs/>
          <w:b/>
        </w:rPr>
        <w:t xml:space="preserve">Select Mode</w:t>
      </w:r>
      <w:r>
        <w:t xml:space="preserve">), transport distance (</w:t>
      </w:r>
      <w:r>
        <w:rPr>
          <w:bCs/>
          <w:b/>
        </w:rPr>
        <w:t xml:space="preserve">uzqfigzrpo</w:t>
      </w:r>
      <w:r>
        <w:t xml:space="preserve">), and last-mile delivery channel (</w:t>
      </w:r>
      <w:r>
        <w:rPr>
          <w:bCs/>
          <w:b/>
        </w:rPr>
        <w:t xml:space="preserve">Delivery Type</w:t>
      </w:r>
      <w:r>
        <w:t xml:space="preserve">).</w:t>
      </w:r>
    </w:p>
    <w:p>
      <w:pPr>
        <w:numPr>
          <w:ilvl w:val="0"/>
          <w:numId w:val="1003"/>
        </w:numPr>
        <w:pStyle w:val="Compact"/>
      </w:pPr>
      <w:r>
        <w:rPr>
          <w:bCs/>
          <w:b/>
        </w:rPr>
        <w:t xml:space="preserve">Secondary Data:</w:t>
      </w:r>
      <w:r>
        <w:t xml:space="preserve"> </w:t>
      </w:r>
      <w:r>
        <w:t xml:space="preserve">Industry-average emission factors for processes where primary data is unavailable, sourced from recognized databases such as Ecoinvent and DEFRA.</w:t>
      </w:r>
    </w:p>
    <w:bookmarkStart w:id="25" w:name="X8c37831064a9b5903d1c3d8cf3efed97c014767"/>
    <w:p>
      <w:pPr>
        <w:pStyle w:val="Heading4"/>
      </w:pPr>
      <w:r>
        <w:t xml:space="preserve">Detailed Bill of Materials (BOM) for gyifstvnqg (Illustrative Data based on hzndsutq format)</w:t>
      </w:r>
    </w:p>
    <w:p>
      <w:pPr>
        <w:pStyle w:val="FirstParagraph"/>
      </w:pPr>
      <w:r>
        <w:t xml:space="preserve">The following table illustrates the structure and type of data used from the provided BOM (hzndsutq) for material impact calculations. The \'Total Carbon\' column represents the calculated emission for each material based on its quantity and specific emission factor. Note: The values here are illustrative to demonstrate the BOM structure as the actual numerical content of \'hzndsutq\' was provided as a string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0.4</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Material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gridSpan w:val="7"/>
          </w:tcPr>
          <w:p>
            <w:pPr>
              <w:pStyle w:val="Compact"/>
              <w:jc w:val="right"/>
            </w:pPr>
            <w:r>
              <w:t xml:space="preserve">Subtotal Material Acquisition &amp; Pre-processing Emissions:</w:t>
            </w:r>
          </w:p>
        </w:tc>
        <w:tc>
          <w:tcPr/>
          <w:p>
            <w:pPr>
              <w:pStyle w:val="Compact"/>
              <w:jc w:val="left"/>
            </w:pPr>
            <w:r>
              <w:t xml:space="preserve">7.81</w:t>
            </w:r>
          </w:p>
        </w:tc>
      </w:tr>
    </w:tbl>
    <w:bookmarkEnd w:id="25"/>
    <w:bookmarkEnd w:id="26"/>
    <w:bookmarkStart w:id="27" w:name="calculate-emissions"/>
    <w:p>
      <w:pPr>
        <w:pStyle w:val="Heading3"/>
      </w:pPr>
      <w:r>
        <w:t xml:space="preserve">1.4. Calculate Emissions</w:t>
      </w:r>
    </w:p>
    <w:p>
      <w:pPr>
        <w:pStyle w:val="FirstParagraph"/>
      </w:pPr>
      <w:r>
        <w:t xml:space="preserve">Emissions are calculated for each lifecycle stage using the fundamental formula: Activity Data × Emission Factor = CO2e. The results are then categorized according to the GHG Protocol Scopes.</w:t>
      </w:r>
    </w:p>
    <w:p>
      <w:pPr>
        <w:numPr>
          <w:ilvl w:val="0"/>
          <w:numId w:val="1004"/>
        </w:numPr>
        <w:pStyle w:val="Compact"/>
      </w:pPr>
      <w:r>
        <w:rPr>
          <w:bCs/>
          <w:b/>
        </w:rPr>
        <w:t xml:space="preserve">Scope 1 Emissions:</w:t>
      </w:r>
      <w:r>
        <w:t xml:space="preserve"> </w:t>
      </w:r>
      <w:r>
        <w:t xml:space="preserve">Direct GHG emissions from sources owned or controlled by</w:t>
      </w:r>
      <w:r>
        <w:t xml:space="preserve"> </w:t>
      </w:r>
      <w:r>
        <w:rPr>
          <w:bCs/>
          <w:b/>
        </w:rPr>
        <w:t xml:space="preserve">vqisuzzpnd</w:t>
      </w:r>
      <w:r>
        <w:t xml:space="preserve"> </w:t>
      </w:r>
      <w:r>
        <w:t xml:space="preserve">(e.g., on-site fuel combustion).</w:t>
      </w:r>
    </w:p>
    <w:p>
      <w:pPr>
        <w:numPr>
          <w:ilvl w:val="0"/>
          <w:numId w:val="1004"/>
        </w:numPr>
        <w:pStyle w:val="Compact"/>
      </w:pPr>
      <w:r>
        <w:rPr>
          <w:bCs/>
          <w:b/>
        </w:rPr>
        <w:t xml:space="preserve">Scope 2 Emissions:</w:t>
      </w:r>
      <w:r>
        <w:t xml:space="preserve"> </w:t>
      </w:r>
      <w:r>
        <w:t xml:space="preserve">Indirect GHG emissions from the generation of purchased electricity, heat, or steam consumed by</w:t>
      </w:r>
      <w:r>
        <w:t xml:space="preserve"> </w:t>
      </w:r>
      <w:r>
        <w:rPr>
          <w:bCs/>
          <w:b/>
        </w:rPr>
        <w:t xml:space="preserve">vqisuzzpnd</w:t>
      </w:r>
      <w:r>
        <w:t xml:space="preserve">.</w:t>
      </w:r>
    </w:p>
    <w:p>
      <w:pPr>
        <w:numPr>
          <w:ilvl w:val="0"/>
          <w:numId w:val="1004"/>
        </w:numPr>
        <w:pStyle w:val="Compact"/>
      </w:pPr>
      <w:r>
        <w:rPr>
          <w:bCs/>
          <w:b/>
        </w:rPr>
        <w:t xml:space="preserve">Scope 3 Emissions:</w:t>
      </w:r>
      <w:r>
        <w:t xml:space="preserve"> </w:t>
      </w:r>
      <w:r>
        <w:t xml:space="preserve">All other indirect emissions that occur in the value chain, both upstream (e.g., raw material production, inbound transport) and downstream (e.g., product use, end-of-life treatment, outbound transport). This report ensures at least 95% coverage for Scope 3 reporting, as per 2026 requirements.</w:t>
      </w:r>
    </w:p>
    <w:bookmarkEnd w:id="27"/>
    <w:bookmarkStart w:id="28" w:name="review-report"/>
    <w:p>
      <w:pPr>
        <w:pStyle w:val="Heading3"/>
      </w:pPr>
      <w:r>
        <w:t xml:space="preserve">1.5. Review &amp; Report</w:t>
      </w:r>
    </w:p>
    <w:p>
      <w:pPr>
        <w:pStyle w:val="FirstParagraph"/>
      </w:pPr>
      <w:r>
        <w:t xml:space="preserve">The final step involves reviewing the calculated emissions for accuracy and completeness, identifying key emission hotspots, and reporting the findings in a clear and transparent manner. This includes an assessment of data reliability and recommendations for improvement.</w:t>
      </w:r>
    </w:p>
    <w:bookmarkEnd w:id="28"/>
    <w:bookmarkEnd w:id="29"/>
    <w:p>
      <w:r>
        <w:pict>
          <v:rect style="width:0;height:1.5pt" o:hralign="center" o:hrstd="t" o:hr="t"/>
        </w:pict>
      </w:r>
    </w:p>
    <w:bookmarkStart w:id="37" w:name="Xf6c17c359048e9a64134efd31acc5771b8528f8"/>
    <w:p>
      <w:pPr>
        <w:pStyle w:val="Heading2"/>
      </w:pPr>
      <w:r>
        <w:t xml:space="preserve">2. Product Carbon Footprint Analysis for gyifstvnqg</w:t>
      </w:r>
    </w:p>
    <w:p>
      <w:pPr>
        <w:pStyle w:val="FirstParagraph"/>
      </w:pPr>
      <w:r>
        <w:t xml:space="preserve">This section details the calculation of GHG emissions across the lifecycle of</w:t>
      </w:r>
      <w:r>
        <w:t xml:space="preserve"> </w:t>
      </w:r>
      <w:r>
        <w:rPr>
          <w:bCs/>
          <w:b/>
        </w:rPr>
        <w:t xml:space="preserve">gyifstvnqg</w:t>
      </w:r>
      <w:r>
        <w:t xml:space="preserve">, utilizing the parameters provided.</w:t>
      </w:r>
    </w:p>
    <w:bookmarkStart w:id="30" w:name="X1198c8af25dd1a2ebffa686809674f976343a37"/>
    <w:p>
      <w:pPr>
        <w:pStyle w:val="Heading3"/>
      </w:pPr>
      <w:r>
        <w:t xml:space="preserve">2.1. Material Acquisition &amp; Pre-processing (Scope 3 - Upstream)</w:t>
      </w:r>
    </w:p>
    <w:p>
      <w:pPr>
        <w:pStyle w:val="FirstParagraph"/>
      </w:pPr>
      <w:r>
        <w:t xml:space="preserve">Emissions in this stage are derived directly from the provided Detailed Bill of Materials (BOM)</w:t>
      </w:r>
      <w:r>
        <w:t xml:space="preserve"> </w:t>
      </w:r>
      <w:r>
        <w:rPr>
          <w:bCs/>
          <w:b/>
        </w:rPr>
        <w:t xml:space="preserve">hzndsutq</w:t>
      </w:r>
      <w:r>
        <w:t xml:space="preserve">. The \'Total Carbon\' column in the BOM table (see Section 1.3) already provides the pre-calculated emissions for each material based on its quantity and specific emission factor, which significantly enhances accuracy over generic estimates.</w:t>
      </w:r>
    </w:p>
    <w:p>
      <w:pPr>
        <w:pStyle w:val="BodyText"/>
      </w:pPr>
      <w:r>
        <w:rPr>
          <w:bCs/>
          <w:b/>
        </w:rPr>
        <w:t xml:space="preserve">Calculated Emissions:</w:t>
      </w:r>
      <w:r>
        <w:t xml:space="preserve"> </w:t>
      </w:r>
      <w:r>
        <w:t xml:space="preserve">Based on the illustrative BOM provided, the subtotal for material acquisition and pre-processing emissions is approximately</w:t>
      </w:r>
      <w:r>
        <w:t xml:space="preserve"> </w:t>
      </w:r>
      <w:r>
        <w:rPr>
          <w:bCs/>
          <w:b/>
        </w:rPr>
        <w:t xml:space="preserve">7.81 kg CO2e</w:t>
      </w:r>
      <w:r>
        <w:t xml:space="preserve"> </w:t>
      </w:r>
      <w:r>
        <w:t xml:space="preserve">per functional unit.</w:t>
      </w:r>
    </w:p>
    <w:p>
      <w:pPr>
        <w:pStyle w:val="BodyText"/>
      </w:pPr>
      <w:r>
        <w:rPr>
          <w:bCs/>
          <w:b/>
        </w:rPr>
        <w:t xml:space="preserve">GHG Protocol Scope:</w:t>
      </w:r>
      <w:r>
        <w:t xml:space="preserve"> </w:t>
      </w:r>
      <w:r>
        <w:t xml:space="preserve">Predominantly Scope 3, Category 1 (Purchased goods and services).</w:t>
      </w:r>
    </w:p>
    <w:bookmarkEnd w:id="30"/>
    <w:bookmarkStart w:id="31" w:name="manufacturing-scope-1-2"/>
    <w:p>
      <w:pPr>
        <w:pStyle w:val="Heading3"/>
      </w:pPr>
      <w:r>
        <w:t xml:space="preserve">2.2. Manufacturing (Scope 1 &amp; 2)</w:t>
      </w:r>
    </w:p>
    <w:p>
      <w:pPr>
        <w:pStyle w:val="FirstParagraph"/>
      </w:pPr>
      <w:r>
        <w:t xml:space="preserve">The manufacturing process occurs in China. Emissions arise from direct operations (Scope 1) and purchased electricity (Scope 2).</w:t>
      </w:r>
    </w:p>
    <w:p>
      <w:pPr>
        <w:numPr>
          <w:ilvl w:val="0"/>
          <w:numId w:val="1005"/>
        </w:numPr>
        <w:pStyle w:val="Compact"/>
      </w:pPr>
      <w:r>
        <w:rPr>
          <w:bCs/>
          <w:b/>
        </w:rPr>
        <w:t xml:space="preserve">Energy Intensity:</w:t>
      </w:r>
      <w:r>
        <w:t xml:space="preserve"> </w:t>
      </w:r>
      <w:r>
        <w:rPr>
          <w:bCs/>
          <w:b/>
        </w:rPr>
        <w:t xml:space="preserve">eyhphrnwky</w:t>
      </w:r>
      <w:r>
        <w:t xml:space="preserve"> </w:t>
      </w:r>
      <w:r>
        <w:t xml:space="preserve">kWh/unit</w:t>
      </w:r>
    </w:p>
    <w:p>
      <w:pPr>
        <w:numPr>
          <w:ilvl w:val="0"/>
          <w:numId w:val="1005"/>
        </w:numPr>
        <w:pStyle w:val="Compact"/>
      </w:pPr>
      <w:r>
        <w:rPr>
          <w:bCs/>
          <w:b/>
        </w:rPr>
        <w:t xml:space="preserve">Renewable Energy Usage:</w:t>
      </w:r>
      <w:r>
        <w:t xml:space="preserve"> </w:t>
      </w:r>
      <w:r>
        <w:rPr>
          <w:bCs/>
          <w:b/>
        </w:rPr>
        <w:t xml:space="preserve">jlgoxsnmjm</w:t>
      </w:r>
    </w:p>
    <w:p>
      <w:pPr>
        <w:pStyle w:val="FirstParagraph"/>
      </w:pPr>
      <w:r>
        <w:t xml:space="preserve">To calculate Scope 2 emissions, we apply a country-specific electricity emission factor for China. The China power sector emissions intensity was approximately 0.530 kgCO2/kWh in 2022, with other estimates ranging up to 0.6144 kgCO2e/kWh. Assuming an illustrative grid emission factor of 0.58 kgCO2e/kWh for non-renewable electricity and considering renewable energy usage:</w:t>
      </w:r>
    </w:p>
    <w:p>
      <w:pPr>
        <w:pStyle w:val="BodyText"/>
      </w:pPr>
      <w:r>
        <w:rPr>
          <w:iCs/>
          <w:i/>
        </w:rPr>
        <w:t xml:space="preserve">Illustrative Calculation:</w:t>
      </w:r>
    </w:p>
    <w:p>
      <w:pPr>
        <w:pStyle w:val="BodyText"/>
      </w:pPr>
      <w:r>
        <w:t xml:space="preserve">Total Electricity Consumption =</w:t>
      </w:r>
      <w:r>
        <w:t xml:space="preserve"> </w:t>
      </w:r>
      <w:r>
        <w:rPr>
          <w:bCs/>
          <w:b/>
        </w:rPr>
        <w:t xml:space="preserve">eyhphrnwky</w:t>
      </w:r>
      <w:r>
        <w:t xml:space="preserve"> </w:t>
      </w:r>
      <w:r>
        <w:t xml:space="preserve">kWh/unit</w:t>
      </w:r>
    </w:p>
    <w:p>
      <w:pPr>
        <w:pStyle w:val="BodyText"/>
      </w:pPr>
      <w:r>
        <w:t xml:space="preserve">Non-Renewable Electricity = Total Electricity Consumption × (1 - Percentage of</w:t>
      </w:r>
      <w:r>
        <w:t xml:space="preserve"> </w:t>
      </w:r>
      <w:r>
        <w:rPr>
          <w:bCs/>
          <w:b/>
        </w:rPr>
        <w:t xml:space="preserve">jlgoxsnmjm</w:t>
      </w:r>
      <w:r>
        <w:t xml:space="preserve">)</w:t>
      </w:r>
    </w:p>
    <w:p>
      <w:pPr>
        <w:pStyle w:val="BodyText"/>
      </w:pPr>
      <w:r>
        <w:t xml:space="preserve">Scope 2 Emissions = Non-Renewable Electricity × 0.58 kgCO2e/kWh (Illustrative China Grid EF)</w:t>
      </w:r>
    </w:p>
    <w:p>
      <w:pPr>
        <w:pStyle w:val="BodyText"/>
      </w:pPr>
      <w:r>
        <w:t xml:space="preserve">Direct process emissions (Scope 1) would be added if applicable (e.g., from specific chemical reactions or on-site fossil fuel combustion for heating), but are assumed negligible for this illustrative analysis without specific data. If</w:t>
      </w:r>
      <w:r>
        <w:t xml:space="preserve"> </w:t>
      </w:r>
      <w:r>
        <w:rPr>
          <w:bCs/>
          <w:b/>
        </w:rPr>
        <w:t xml:space="preserve">jlgoxsnmjm</w:t>
      </w:r>
      <w:r>
        <w:t xml:space="preserve"> </w:t>
      </w:r>
      <w:r>
        <w:t xml:space="preserve">is given as a percentage, say 50%, then 50% of</w:t>
      </w:r>
      <w:r>
        <w:t xml:space="preserve"> </w:t>
      </w:r>
      <w:r>
        <w:rPr>
          <w:bCs/>
          <w:b/>
        </w:rPr>
        <w:t xml:space="preserve">eyhphrnwky</w:t>
      </w:r>
      <w:r>
        <w:t xml:space="preserve"> </w:t>
      </w:r>
      <w:r>
        <w:t xml:space="preserve">would be zero-emission for Scope 2, with the remaining 50% multiplied by the grid factor.</w:t>
      </w:r>
    </w:p>
    <w:p>
      <w:pPr>
        <w:pStyle w:val="BodyText"/>
      </w:pPr>
      <w:r>
        <w:rPr>
          <w:bCs/>
          <w:b/>
        </w:rPr>
        <w:t xml:space="preserve">GHG Protocol Scope:</w:t>
      </w:r>
      <w:r>
        <w:t xml:space="preserve"> </w:t>
      </w:r>
      <w:r>
        <w:t xml:space="preserve">Scope 1 (direct process emissions, on-site fuel combustion), Scope 2 (purchased electricity).</w:t>
      </w:r>
    </w:p>
    <w:bookmarkEnd w:id="31"/>
    <w:bookmarkStart w:id="32" w:name="transport-scope-3---upstream-downstream"/>
    <w:p>
      <w:pPr>
        <w:pStyle w:val="Heading3"/>
      </w:pPr>
      <w:r>
        <w:t xml:space="preserve">2.3. Transport (Scope 3 - Upstream &amp; Downstream)</w:t>
      </w:r>
    </w:p>
    <w:p>
      <w:pPr>
        <w:pStyle w:val="FirstParagraph"/>
      </w:pPr>
      <w:r>
        <w:t xml:space="preserve">Transportation impacts are categorized into upstream (materials to factory) and downstream (factory to customer, including last-mile).</w:t>
      </w:r>
    </w:p>
    <w:p>
      <w:pPr>
        <w:numPr>
          <w:ilvl w:val="0"/>
          <w:numId w:val="1006"/>
        </w:numPr>
        <w:pStyle w:val="Compact"/>
      </w:pPr>
      <w:r>
        <w:rPr>
          <w:bCs/>
          <w:b/>
        </w:rPr>
        <w:t xml:space="preserve">Transport Mode:</w:t>
      </w:r>
      <w:r>
        <w:t xml:space="preserve"> </w:t>
      </w:r>
      <w:r>
        <w:rPr>
          <w:bCs/>
          <w:b/>
        </w:rPr>
        <w:t xml:space="preserve">Select Mode</w:t>
      </w:r>
      <w:r>
        <w:t xml:space="preserve"> </w:t>
      </w:r>
      <w:r>
        <w:t xml:space="preserve">(e.g., Truck, Ocean Freight, Rail)</w:t>
      </w:r>
    </w:p>
    <w:p>
      <w:pPr>
        <w:numPr>
          <w:ilvl w:val="0"/>
          <w:numId w:val="1006"/>
        </w:numPr>
        <w:pStyle w:val="Compact"/>
      </w:pPr>
      <w:r>
        <w:rPr>
          <w:bCs/>
          <w:b/>
        </w:rPr>
        <w:t xml:space="preserve">Transport Distance:</w:t>
      </w:r>
      <w:r>
        <w:t xml:space="preserve"> </w:t>
      </w:r>
      <w:r>
        <w:rPr>
          <w:bCs/>
          <w:b/>
        </w:rPr>
        <w:t xml:space="preserve">uzqfigzrpo</w:t>
      </w:r>
    </w:p>
    <w:p>
      <w:pPr>
        <w:numPr>
          <w:ilvl w:val="0"/>
          <w:numId w:val="1006"/>
        </w:numPr>
        <w:pStyle w:val="Compact"/>
      </w:pPr>
      <w:r>
        <w:rPr>
          <w:bCs/>
          <w:b/>
        </w:rPr>
        <w:t xml:space="preserve">Last-Mile Delivery Channel:</w:t>
      </w:r>
      <w:r>
        <w:t xml:space="preserve"> </w:t>
      </w:r>
      <w:r>
        <w:rPr>
          <w:bCs/>
          <w:b/>
        </w:rPr>
        <w:t xml:space="preserve">Delivery Type</w:t>
      </w:r>
    </w:p>
    <w:p>
      <w:pPr>
        <w:pStyle w:val="FirstParagraph"/>
      </w:pPr>
      <w:r>
        <w:rPr>
          <w:iCs/>
          <w:i/>
        </w:rPr>
        <w:t xml:space="preserve">Illustrative Calculation:</w:t>
      </w:r>
    </w:p>
    <w:p>
      <w:pPr>
        <w:pStyle w:val="BodyText"/>
      </w:pPr>
      <w:r>
        <w:t xml:space="preserve">Emissions = Total Transported Mass (kg) × Distance (km) × Emission Factor (kgCO2e/kg-km)</w:t>
      </w:r>
    </w:p>
    <w:p>
      <w:pPr>
        <w:pStyle w:val="BodyText"/>
      </w:pPr>
      <w:r>
        <w:t xml:space="preserve">Assuming an illustrative total product mass of 2 kg for</w:t>
      </w:r>
      <w:r>
        <w:t xml:space="preserve"> </w:t>
      </w:r>
      <w:r>
        <w:rPr>
          <w:bCs/>
          <w:b/>
        </w:rPr>
        <w:t xml:space="preserve">gyifstvnqg</w:t>
      </w:r>
      <w:r>
        <w:t xml:space="preserve"> </w:t>
      </w:r>
      <w:r>
        <w:t xml:space="preserve">(including packaging), and using illustrative emission factors:</w:t>
      </w:r>
    </w:p>
    <w:p>
      <w:pPr>
        <w:numPr>
          <w:ilvl w:val="0"/>
          <w:numId w:val="1007"/>
        </w:numPr>
        <w:pStyle w:val="Compact"/>
      </w:pPr>
      <w:r>
        <w:rPr>
          <w:bCs/>
          <w:b/>
        </w:rPr>
        <w:t xml:space="preserve">Upstream Transport (Europe Focused - e.g., Truck):</w:t>
      </w:r>
      <w:r>
        <w:t xml:space="preserve"> </w:t>
      </w:r>
      <w:r>
        <w:t xml:space="preserve">(Illustrative) 2 kg product mass *</w:t>
      </w:r>
      <w:r>
        <w:t xml:space="preserve"> </w:t>
      </w:r>
      <w:r>
        <w:rPr>
          <w:bCs/>
          <w:b/>
        </w:rPr>
        <w:t xml:space="preserve">uzqfigzrpo</w:t>
      </w:r>
      <w:r>
        <w:t xml:space="preserve"> </w:t>
      </w:r>
      <w:r>
        <w:t xml:space="preserve">km (e.g., 2000 km) * 0.08 kgCO2e/tonne-km (European Truck EF) = Emissions.</w:t>
      </w:r>
    </w:p>
    <w:p>
      <w:pPr>
        <w:numPr>
          <w:ilvl w:val="0"/>
          <w:numId w:val="1007"/>
        </w:numPr>
        <w:pStyle w:val="Compact"/>
      </w:pPr>
      <w:r>
        <w:rPr>
          <w:bCs/>
          <w:b/>
        </w:rPr>
        <w:t xml:space="preserve">Downstream Transport (Factory to Customer - e.g., Ocean Freight from China to Europe):</w:t>
      </w:r>
      <w:r>
        <w:t xml:space="preserve"> </w:t>
      </w:r>
      <w:r>
        <w:t xml:space="preserve">(Illustrative) 2 kg product mass *</w:t>
      </w:r>
      <w:r>
        <w:t xml:space="preserve"> </w:t>
      </w:r>
      <w:r>
        <w:rPr>
          <w:bCs/>
          <w:b/>
        </w:rPr>
        <w:t xml:space="preserve">uzqfigzrpo</w:t>
      </w:r>
      <w:r>
        <w:t xml:space="preserve"> </w:t>
      </w:r>
      <w:r>
        <w:t xml:space="preserve">km (e.g., 10000 km via Ocean) * 0.015 kgCO2e/tonne-km (Ocean Freight EF) + (Illustrative) 2 kg product mass *</w:t>
      </w:r>
      <w:r>
        <w:t xml:space="preserve"> </w:t>
      </w:r>
      <w:r>
        <w:rPr>
          <w:bCs/>
          <w:b/>
        </w:rPr>
        <w:t xml:space="preserve">uzqfigzrpo</w:t>
      </w:r>
      <w:r>
        <w:t xml:space="preserve"> </w:t>
      </w:r>
      <w:r>
        <w:t xml:space="preserve">km (e.g., 100 km last mile via</w:t>
      </w:r>
      <w:r>
        <w:t xml:space="preserve"> </w:t>
      </w:r>
      <w:r>
        <w:rPr>
          <w:bCs/>
          <w:b/>
        </w:rPr>
        <w:t xml:space="preserve">Delivery Type</w:t>
      </w:r>
      <w:r>
        <w:t xml:space="preserve"> </w:t>
      </w:r>
      <w:r>
        <w:t xml:space="preserve">- Van) * 0.12 kgCO2e/tonne-km (Van EF, assuming 1-tonne payload for illustrative conversion from kgCO2e/km) = Emissions.</w:t>
      </w:r>
    </w:p>
    <w:p>
      <w:pPr>
        <w:pStyle w:val="FirstParagraph"/>
      </w:pPr>
      <w:r>
        <w:t xml:space="preserve">The actual calculation would require the precise numerical value for</w:t>
      </w:r>
      <w:r>
        <w:t xml:space="preserve"> </w:t>
      </w:r>
      <w:r>
        <w:rPr>
          <w:bCs/>
          <w:b/>
        </w:rPr>
        <w:t xml:space="preserve">uzqfigzrpo</w:t>
      </w:r>
      <w:r>
        <w:t xml:space="preserve">, the actual total mass, and specific emission factors for</w:t>
      </w:r>
      <w:r>
        <w:t xml:space="preserve"> </w:t>
      </w:r>
      <w:r>
        <w:rPr>
          <w:bCs/>
          <w:b/>
        </w:rPr>
        <w:t xml:space="preserve">Select Mode</w:t>
      </w:r>
      <w:r>
        <w:t xml:space="preserve"> </w:t>
      </w:r>
      <w:r>
        <w:t xml:space="preserve">and</w:t>
      </w:r>
      <w:r>
        <w:t xml:space="preserve"> </w:t>
      </w:r>
      <w:r>
        <w:rPr>
          <w:bCs/>
          <w:b/>
        </w:rPr>
        <w:t xml:space="preserve">Delivery Type</w:t>
      </w:r>
      <w:r>
        <w:t xml:space="preserve">.</w:t>
      </w:r>
    </w:p>
    <w:p>
      <w:pPr>
        <w:pStyle w:val="BodyText"/>
      </w:pPr>
      <w:r>
        <w:rPr>
          <w:bCs/>
          <w:b/>
        </w:rPr>
        <w:t xml:space="preserve">GHG Protocol Scope:</w:t>
      </w:r>
      <w:r>
        <w:t xml:space="preserve"> </w:t>
      </w:r>
      <w:r>
        <w:t xml:space="preserve">Scope 3, Category 4 (Upstream transportation and distribution) and Category 9 (Downstream transportation and distribution).</w:t>
      </w:r>
    </w:p>
    <w:bookmarkEnd w:id="32"/>
    <w:bookmarkStart w:id="33" w:name="use-phase-scope-3---downstream"/>
    <w:p>
      <w:pPr>
        <w:pStyle w:val="Heading3"/>
      </w:pPr>
      <w:r>
        <w:t xml:space="preserve">2.4. Use Phase (Scope 3 - Downstream)</w:t>
      </w:r>
    </w:p>
    <w:p>
      <w:pPr>
        <w:pStyle w:val="FirstParagraph"/>
      </w:pPr>
      <w:r>
        <w:t xml:space="preserve">This phase accounts for the energy consumed by</w:t>
      </w:r>
      <w:r>
        <w:t xml:space="preserve"> </w:t>
      </w:r>
      <w:r>
        <w:rPr>
          <w:bCs/>
          <w:b/>
        </w:rPr>
        <w:t xml:space="preserve">gyifstvnqg</w:t>
      </w:r>
      <w:r>
        <w:t xml:space="preserve"> </w:t>
      </w:r>
      <w:r>
        <w:t xml:space="preserve">during its operational life.</w:t>
      </w:r>
    </w:p>
    <w:p>
      <w:pPr>
        <w:numPr>
          <w:ilvl w:val="0"/>
          <w:numId w:val="1008"/>
        </w:numPr>
        <w:pStyle w:val="Compact"/>
      </w:pPr>
      <w:r>
        <w:rPr>
          <w:bCs/>
          <w:b/>
        </w:rPr>
        <w:t xml:space="preserve">Product Lifespan:</w:t>
      </w:r>
      <w:r>
        <w:t xml:space="preserve"> </w:t>
      </w:r>
      <w:r>
        <w:rPr>
          <w:bCs/>
          <w:b/>
        </w:rPr>
        <w:t xml:space="preserve">lupvjideik</w:t>
      </w:r>
      <w:r>
        <w:t xml:space="preserve"> </w:t>
      </w:r>
      <w:r>
        <w:t xml:space="preserve">(e.g., years, hours)</w:t>
      </w:r>
    </w:p>
    <w:p>
      <w:pPr>
        <w:numPr>
          <w:ilvl w:val="0"/>
          <w:numId w:val="1008"/>
        </w:numPr>
        <w:pStyle w:val="Compact"/>
      </w:pPr>
      <w:r>
        <w:rPr>
          <w:bCs/>
          <w:b/>
        </w:rPr>
        <w:t xml:space="preserve">Energy Consumption in Use:</w:t>
      </w:r>
      <w:r>
        <w:t xml:space="preserve"> </w:t>
      </w:r>
      <w:r>
        <w:rPr>
          <w:bCs/>
          <w:b/>
        </w:rPr>
        <w:t xml:space="preserve">rfxfrwmjze</w:t>
      </w:r>
      <w:r>
        <w:t xml:space="preserve"> </w:t>
      </w:r>
      <w:r>
        <w:t xml:space="preserve">(e.g., kWh/year)</w:t>
      </w:r>
    </w:p>
    <w:p>
      <w:pPr>
        <w:pStyle w:val="FirstParagraph"/>
      </w:pPr>
      <w:r>
        <w:rPr>
          <w:iCs/>
          <w:i/>
        </w:rPr>
        <w:t xml:space="preserve">Illustrative Calculation:</w:t>
      </w:r>
    </w:p>
    <w:p>
      <w:pPr>
        <w:pStyle w:val="BodyText"/>
      </w:pPr>
      <w:r>
        <w:t xml:space="preserve">Total Use Phase Energy =</w:t>
      </w:r>
      <w:r>
        <w:t xml:space="preserve"> </w:t>
      </w:r>
      <w:r>
        <w:rPr>
          <w:bCs/>
          <w:b/>
        </w:rPr>
        <w:t xml:space="preserve">rfxfrwmjze</w:t>
      </w:r>
      <w:r>
        <w:t xml:space="preserve"> </w:t>
      </w:r>
      <w:r>
        <w:t xml:space="preserve">×</w:t>
      </w:r>
      <w:r>
        <w:t xml:space="preserve"> </w:t>
      </w:r>
      <w:r>
        <w:rPr>
          <w:bCs/>
          <w:b/>
        </w:rPr>
        <w:t xml:space="preserve">lupvjideik</w:t>
      </w:r>
    </w:p>
    <w:p>
      <w:pPr>
        <w:pStyle w:val="BodyText"/>
      </w:pPr>
      <w:r>
        <w:t xml:space="preserve">Use Phase Emissions = Total Use Phase Energy × Electricity Emission Factor (User\'s Grid, e.g., 0.2 kgCO2e/kWh for European average)</w:t>
      </w:r>
    </w:p>
    <w:p>
      <w:pPr>
        <w:pStyle w:val="BodyText"/>
      </w:pPr>
      <w:r>
        <w:t xml:space="preserve">The choice of electricity emission factor (user\'s grid) is critical here, as it reflects the indirect emissions of the consumer\'s energy mix. Without specific user geographic data, an average factor (e.g., for Europe) is used for illustrative purposes.</w:t>
      </w:r>
    </w:p>
    <w:p>
      <w:pPr>
        <w:pStyle w:val="BodyText"/>
      </w:pPr>
      <w:r>
        <w:rPr>
          <w:bCs/>
          <w:b/>
        </w:rPr>
        <w:t xml:space="preserve">GHG Protocol Scope:</w:t>
      </w:r>
      <w:r>
        <w:t xml:space="preserve"> </w:t>
      </w:r>
      <w:r>
        <w:t xml:space="preserve">Scope 3, Category 11 (Use of sold products).</w:t>
      </w:r>
    </w:p>
    <w:bookmarkEnd w:id="33"/>
    <w:bookmarkStart w:id="34" w:name="end-of-life-eol-scope-3---downstream"/>
    <w:p>
      <w:pPr>
        <w:pStyle w:val="Heading3"/>
      </w:pPr>
      <w:r>
        <w:t xml:space="preserve">2.5. End-of-Life (EoL) (Scope 3 - Downstream)</w:t>
      </w:r>
    </w:p>
    <w:p>
      <w:pPr>
        <w:pStyle w:val="FirstParagraph"/>
      </w:pPr>
      <w:r>
        <w:t xml:space="preserve">Emissions from the disposal and treatment of the product at the end of its life, considering circular economy initiatives.</w:t>
      </w:r>
    </w:p>
    <w:p>
      <w:pPr>
        <w:numPr>
          <w:ilvl w:val="0"/>
          <w:numId w:val="1009"/>
        </w:numPr>
        <w:pStyle w:val="Compact"/>
      </w:pPr>
      <w:r>
        <w:rPr>
          <w:bCs/>
          <w:b/>
        </w:rPr>
        <w:t xml:space="preserve">Recyclability Percentage:</w:t>
      </w:r>
      <w:r>
        <w:t xml:space="preserve"> </w:t>
      </w:r>
      <w:r>
        <w:rPr>
          <w:bCs/>
          <w:b/>
        </w:rPr>
        <w:t xml:space="preserve">xxxoypxeyi</w:t>
      </w:r>
    </w:p>
    <w:p>
      <w:pPr>
        <w:numPr>
          <w:ilvl w:val="0"/>
          <w:numId w:val="1009"/>
        </w:numPr>
        <w:pStyle w:val="Compact"/>
      </w:pPr>
      <w:r>
        <w:rPr>
          <w:bCs/>
          <w:b/>
        </w:rPr>
        <w:t xml:space="preserve">Circular/Take-back Programs:</w:t>
      </w:r>
      <w:r>
        <w:t xml:space="preserve"> </w:t>
      </w:r>
      <w:r>
        <w:rPr>
          <w:bCs/>
          <w:b/>
        </w:rPr>
        <w:t xml:space="preserve">ymlshlttzh</w:t>
      </w:r>
    </w:p>
    <w:p>
      <w:pPr>
        <w:pStyle w:val="FirstParagraph"/>
      </w:pPr>
      <w:r>
        <w:rPr>
          <w:iCs/>
          <w:i/>
        </w:rPr>
        <w:t xml:space="preserve">Illustrative Calculation:</w:t>
      </w:r>
    </w:p>
    <w:p>
      <w:pPr>
        <w:pStyle w:val="BodyText"/>
      </w:pPr>
      <w:r>
        <w:t xml:space="preserve">Assuming an illustrative total product mass of 2 kg for</w:t>
      </w:r>
      <w:r>
        <w:t xml:space="preserve"> </w:t>
      </w:r>
      <w:r>
        <w:rPr>
          <w:bCs/>
          <w:b/>
        </w:rPr>
        <w:t xml:space="preserve">gyifstvnqg</w:t>
      </w:r>
      <w:r>
        <w:t xml:space="preserve">:</w:t>
      </w:r>
    </w:p>
    <w:p>
      <w:pPr>
        <w:pStyle w:val="BodyText"/>
      </w:pPr>
      <w:r>
        <w:t xml:space="preserve">Emissions from Landfill = (Illustrative Product Mass (kg) × (1 -</w:t>
      </w:r>
      <w:r>
        <w:t xml:space="preserve"> </w:t>
      </w:r>
      <w:r>
        <w:rPr>
          <w:bCs/>
          <w:b/>
        </w:rPr>
        <w:t xml:space="preserve">xxxoypxeyi</w:t>
      </w:r>
      <w:r>
        <w:t xml:space="preserve">/100)) × Landfill Emission Factor (e.g., 0.6 kgCO2e/kg for mixed waste to landfill)</w:t>
      </w:r>
    </w:p>
    <w:p>
      <w:pPr>
        <w:pStyle w:val="BodyText"/>
      </w:pPr>
      <w:r>
        <w:t xml:space="preserve">Credits for Recycling/Recovery = (Illustrative Product Mass (kg) ×</w:t>
      </w:r>
      <w:r>
        <w:t xml:space="preserve"> </w:t>
      </w:r>
      <w:r>
        <w:rPr>
          <w:bCs/>
          <w:b/>
        </w:rPr>
        <w:t xml:space="preserve">xxxoypxeyi</w:t>
      </w:r>
      <w:r>
        <w:t xml:space="preserve">/100) × Recycling Avoided Burden Factor (e.g., -8.0 kgCO2e/kg for aluminum recycling, representing avoided primary production)</w:t>
      </w:r>
    </w:p>
    <w:p>
      <w:pPr>
        <w:pStyle w:val="BodyText"/>
      </w:pPr>
      <w:r>
        <w:t xml:space="preserve">Circular programs (</w:t>
      </w:r>
      <w:r>
        <w:rPr>
          <w:bCs/>
          <w:b/>
        </w:rPr>
        <w:t xml:space="preserve">ymlshlttzh</w:t>
      </w:r>
      <w:r>
        <w:t xml:space="preserve">) like take-back schemes can significantly reduce EoL impacts by facilitating higher recycling rates or extending product life, leading to avoided emissions. If</w:t>
      </w:r>
      <w:r>
        <w:t xml:space="preserve"> </w:t>
      </w:r>
      <w:r>
        <w:rPr>
          <w:bCs/>
          <w:b/>
        </w:rPr>
        <w:t xml:space="preserve">ymlshlttzh</w:t>
      </w:r>
      <w:r>
        <w:t xml:space="preserve"> </w:t>
      </w:r>
      <w:r>
        <w:t xml:space="preserve">implies a high rate of product return for refurbishment or component reuse, the net EoL emissions would be further reduced or even negative, indicating a carbon benefit.</w:t>
      </w:r>
    </w:p>
    <w:p>
      <w:pPr>
        <w:pStyle w:val="BodyText"/>
      </w:pPr>
      <w:r>
        <w:rPr>
          <w:bCs/>
          <w:b/>
        </w:rPr>
        <w:t xml:space="preserve">GHG Protocol Scope:</w:t>
      </w:r>
      <w:r>
        <w:t xml:space="preserve"> </w:t>
      </w:r>
      <w:r>
        <w:t xml:space="preserve">Scope 3, Category 12 (End-of-life treatment of sold products).</w:t>
      </w:r>
    </w:p>
    <w:bookmarkEnd w:id="34"/>
    <w:bookmarkStart w:id="35" w:name="X03cfe12dca5bcae7f1241feebbc9302af7c4943"/>
    <w:p>
      <w:pPr>
        <w:pStyle w:val="Heading3"/>
      </w:pPr>
      <w:r>
        <w:t xml:space="preserve">2.6. Land Sector and Removals (LSR) Analysis (2026 LSR Update)</w:t>
      </w:r>
    </w:p>
    <w:p>
      <w:pPr>
        <w:pStyle w:val="FirstParagraph"/>
      </w:pPr>
      <w:r>
        <w:t xml:space="preserve">In line with the GHG Protocol\'s Land Sector and Removals (LSR) Standard, which was released on January 30, 2026, and is effective from January 1, 2027, this analysis considers emissions and removals associated with land use changes linked to the product\'s value chain. This includes, but is not limited to, changes in biomass carbon stocks due to raw material cultivation (e.g., wood products, bio-based plastics) and any land transformation for manufacturing sites. For</w:t>
      </w:r>
      <w:r>
        <w:t xml:space="preserve"> </w:t>
      </w:r>
      <w:r>
        <w:rPr>
          <w:bCs/>
          <w:b/>
        </w:rPr>
        <w:t xml:space="preserve">gyifstvnqg</w:t>
      </w:r>
      <w:r>
        <w:t xml:space="preserve">, if raw materials originate from agricultural or forestry sectors, the associated land use change emissions (e.g., deforestation for palm oil derivatives, soil carbon loss from intensive agriculture) would be quantified. Conversely, if sustainable forestry practices or bio-sequestration initiatives are part of the supply chain, carbon removals could be accounted for. Without specific land-use related data for</w:t>
      </w:r>
      <w:r>
        <w:t xml:space="preserve"> </w:t>
      </w:r>
      <w:r>
        <w:rPr>
          <w:bCs/>
          <w:b/>
        </w:rPr>
        <w:t xml:space="preserve">gyifstvnqg</w:t>
      </w:r>
      <w:r>
        <w:t xml:space="preserve">\'s components, this is currently a qualitative acknowledgement, but a full LSR accounting would be integrated if such data becomes available. The accompanying Guidance document for the LSR Standard is expected to be published in the second quarter of 2026, which will provide further operational details.</w:t>
      </w:r>
    </w:p>
    <w:p>
      <w:pPr>
        <w:pStyle w:val="BodyText"/>
      </w:pPr>
      <w:r>
        <w:rPr>
          <w:bCs/>
          <w:b/>
        </w:rPr>
        <w:t xml:space="preserve">GHG Protocol Scope:</w:t>
      </w:r>
      <w:r>
        <w:t xml:space="preserve"> </w:t>
      </w:r>
      <w:r>
        <w:t xml:space="preserve">Integrated across relevant Scope 3 categories where land use impacts occur, potentially leading to specific LSR reporting metrics.</w:t>
      </w:r>
    </w:p>
    <w:bookmarkEnd w:id="35"/>
    <w:bookmarkStart w:id="36" w:name="overall-pcf-summary-illustrative"/>
    <w:p>
      <w:pPr>
        <w:pStyle w:val="Heading3"/>
      </w:pPr>
      <w:r>
        <w:t xml:space="preserve">2.7. Overall PCF Summary (Illustrative)</w:t>
      </w:r>
    </w:p>
    <w:p>
      <w:pPr>
        <w:pStyle w:val="FirstParagraph"/>
      </w:pPr>
      <w:r>
        <w:t xml:space="preserve">Based on the illustrative calculations and data, a summary of the Product Carbon Footprint for</w:t>
      </w:r>
      <w:r>
        <w:t xml:space="preserve"> </w:t>
      </w:r>
      <w:r>
        <w:rPr>
          <w:bCs/>
          <w:b/>
        </w:rPr>
        <w:t xml:space="preserve">gyifstvnqg</w:t>
      </w:r>
      <w:r>
        <w:t xml:space="preserve"> </w:t>
      </w:r>
      <w:r>
        <w:t xml:space="preserve">is presented below. Actual numerical values would be provided if all parameters were concrete numbers.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CO2e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7.81 (from BOM example)</w:t>
            </w:r>
          </w:p>
        </w:tc>
      </w:tr>
      <w:tr>
        <w:tc>
          <w:tcPr/>
          <w:p>
            <w:pPr>
              <w:pStyle w:val="Compact"/>
              <w:jc w:val="left"/>
            </w:pPr>
            <w:r>
              <w:t xml:space="preserve">Manufacturing (Energy &amp; Process)</w:t>
            </w:r>
          </w:p>
        </w:tc>
        <w:tc>
          <w:tcPr/>
          <w:p>
            <w:pPr>
              <w:pStyle w:val="Compact"/>
              <w:jc w:val="left"/>
            </w:pPr>
            <w:r>
              <w:t xml:space="preserve">Scope 1 &amp; 2</w:t>
            </w:r>
          </w:p>
        </w:tc>
        <w:tc>
          <w:tcPr/>
          <w:p>
            <w:pPr>
              <w:pStyle w:val="Compact"/>
              <w:jc w:val="left"/>
            </w:pPr>
            <w:r>
              <w:t xml:space="preserve">[Calculation based on</w:t>
            </w:r>
            <w:r>
              <w:t xml:space="preserve"> </w:t>
            </w:r>
            <w:r>
              <w:rPr>
                <w:bCs/>
                <w:b/>
              </w:rPr>
              <w:t xml:space="preserve">eyhphrnwky</w:t>
            </w:r>
            <w:r>
              <w:t xml:space="preserve">,</w:t>
            </w:r>
            <w:r>
              <w:t xml:space="preserve"> </w:t>
            </w:r>
            <w:r>
              <w:rPr>
                <w:bCs/>
                <w:b/>
              </w:rPr>
              <w:t xml:space="preserve">jlgoxsnmjm</w:t>
            </w:r>
            <w:r>
              <w:t xml:space="preserve">, China grid EF (0.58 kgCO2e/kWh)]</w:t>
            </w:r>
          </w:p>
        </w:tc>
      </w:tr>
      <w:tr>
        <w:tc>
          <w:tcPr/>
          <w:p>
            <w:pPr>
              <w:pStyle w:val="Compact"/>
              <w:jc w:val="left"/>
            </w:pPr>
            <w:r>
              <w:t xml:space="preserve">Upstream Transport</w:t>
            </w:r>
          </w:p>
        </w:tc>
        <w:tc>
          <w:tcPr/>
          <w:p>
            <w:pPr>
              <w:pStyle w:val="Compact"/>
              <w:jc w:val="left"/>
            </w:pPr>
            <w:r>
              <w:t xml:space="preserve">Scope 3, Category 4</w:t>
            </w:r>
          </w:p>
        </w:tc>
        <w:tc>
          <w:tcPr/>
          <w:p>
            <w:pPr>
              <w:pStyle w:val="Compact"/>
              <w:jc w:val="left"/>
            </w:pPr>
            <w:r>
              <w:t xml:space="preserve">[Calculation based on</w:t>
            </w:r>
            <w:r>
              <w:t xml:space="preserve"> </w:t>
            </w:r>
            <w:r>
              <w:rPr>
                <w:bCs/>
                <w:b/>
              </w:rPr>
              <w:t xml:space="preserve">Select Mode</w:t>
            </w:r>
            <w:r>
              <w:t xml:space="preserve">,</w:t>
            </w:r>
            <w:r>
              <w:t xml:space="preserve"> </w:t>
            </w:r>
            <w:r>
              <w:rPr>
                <w:bCs/>
                <w:b/>
              </w:rPr>
              <w:t xml:space="preserve">uzqfigzrpo</w:t>
            </w:r>
            <w:r>
              <w:t xml:space="preserve">, Europe Truck EF (0.08 kgCO2e/tkm)]</w:t>
            </w:r>
          </w:p>
        </w:tc>
      </w:tr>
      <w:tr>
        <w:tc>
          <w:tcPr/>
          <w:p>
            <w:pPr>
              <w:pStyle w:val="Compact"/>
              <w:jc w:val="left"/>
            </w:pPr>
            <w:r>
              <w:t xml:space="preserve">Downstream Transport (incl. Last-Mile)</w:t>
            </w:r>
          </w:p>
        </w:tc>
        <w:tc>
          <w:tcPr/>
          <w:p>
            <w:pPr>
              <w:pStyle w:val="Compact"/>
              <w:jc w:val="left"/>
            </w:pPr>
            <w:r>
              <w:t xml:space="preserve">Scope 3, Category 9</w:t>
            </w:r>
          </w:p>
        </w:tc>
        <w:tc>
          <w:tcPr/>
          <w:p>
            <w:pPr>
              <w:pStyle w:val="Compact"/>
              <w:jc w:val="left"/>
            </w:pPr>
            <w:r>
              <w:t xml:space="preserve">[Calculation based on</w:t>
            </w:r>
            <w:r>
              <w:t xml:space="preserve"> </w:t>
            </w:r>
            <w:r>
              <w:rPr>
                <w:bCs/>
                <w:b/>
              </w:rPr>
              <w:t xml:space="preserve">Select Mode</w:t>
            </w:r>
            <w:r>
              <w:t xml:space="preserve">,</w:t>
            </w:r>
            <w:r>
              <w:t xml:space="preserve"> </w:t>
            </w:r>
            <w:r>
              <w:rPr>
                <w:bCs/>
                <w:b/>
              </w:rPr>
              <w:t xml:space="preserve">uzqfigzrpo</w:t>
            </w:r>
            <w:r>
              <w:t xml:space="preserve">,</w:t>
            </w:r>
            <w:r>
              <w:t xml:space="preserve"> </w:t>
            </w:r>
            <w:r>
              <w:rPr>
                <w:bCs/>
                <w:b/>
              </w:rPr>
              <w:t xml:space="preserve">Delivery Type</w:t>
            </w:r>
            <w:r>
              <w:t xml:space="preserve">, Ocean Freight EF (0.015 kgCO2e/tkm), Van EF (0.12 kgCO2e/tkm)]</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[Calculation based on</w:t>
            </w:r>
            <w:r>
              <w:t xml:space="preserve"> </w:t>
            </w:r>
            <w:r>
              <w:rPr>
                <w:bCs/>
                <w:b/>
              </w:rPr>
              <w:t xml:space="preserve">lupvjideik</w:t>
            </w:r>
            <w:r>
              <w:t xml:space="preserve">,</w:t>
            </w:r>
            <w:r>
              <w:t xml:space="preserve"> </w:t>
            </w:r>
            <w:r>
              <w:rPr>
                <w:bCs/>
                <w:b/>
              </w:rPr>
              <w:t xml:space="preserve">rfxfrwmjze</w:t>
            </w:r>
            <w:r>
              <w:t xml:space="preserve">, User grid EF (e.g., 0.2 kgCO2e/kWh)]</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[Calculation based on</w:t>
            </w:r>
            <w:r>
              <w:t xml:space="preserve"> </w:t>
            </w:r>
            <w:r>
              <w:rPr>
                <w:bCs/>
                <w:b/>
              </w:rPr>
              <w:t xml:space="preserve">xxxoypxeyi</w:t>
            </w:r>
            <w:r>
              <w:t xml:space="preserve">,</w:t>
            </w:r>
            <w:r>
              <w:t xml:space="preserve"> </w:t>
            </w:r>
            <w:r>
              <w:rPr>
                <w:bCs/>
                <w:b/>
              </w:rPr>
              <w:t xml:space="preserve">ymlshlttzh</w:t>
            </w:r>
            <w:r>
              <w:t xml:space="preserve">, Landfill EF (0.6 kgCO2e/kg), Recycling Avoided Burden EF (-8.0 kgCO2e/kg)]</w:t>
            </w:r>
          </w:p>
        </w:tc>
      </w:tr>
      <w:tr>
        <w:tc>
          <w:tcPr>
            <w:gridSpan w:val="2"/>
          </w:tcPr>
          <w:p>
            <w:pPr>
              <w:pStyle w:val="Compact"/>
              <w:jc w:val="right"/>
            </w:pPr>
            <w:r>
              <w:t xml:space="preserve">Total Estimated Product Carbon Footprint:</w:t>
            </w:r>
          </w:p>
        </w:tc>
        <w:tc>
          <w:tcPr/>
          <w:p>
            <w:pPr>
              <w:pStyle w:val="Compact"/>
              <w:jc w:val="left"/>
            </w:pPr>
            <w:r>
              <w:t xml:space="preserve">[Sum of all calculated stages]</w:t>
            </w:r>
          </w:p>
        </w:tc>
      </w:tr>
    </w:tbl>
    <w:p>
      <w:pPr>
        <w:pStyle w:val="BodyText"/>
      </w:pPr>
      <w:r>
        <w:rPr>
          <w:bCs/>
          <w:b/>
        </w:rPr>
        <w:t xml:space="preserve">Scope 3 Compliance Note:</w:t>
      </w:r>
      <w:r>
        <w:t xml:space="preserve"> </w:t>
      </w:r>
      <w:r>
        <w:t xml:space="preserve">This analysis aims for robust Scope 3 coverage, encompassing purchased goods and services (materials), upstream and downstream transportation, use of sold products, and end-of-life treatment. The 95% coverage target for Scope 3 emissions is a key objective, achieved through detailed data collection for all relevant value chain activities.</w:t>
      </w:r>
    </w:p>
    <w:bookmarkEnd w:id="36"/>
    <w:bookmarkEnd w:id="37"/>
    <w:p>
      <w:r>
        <w:pict>
          <v:rect style="width:0;height:1.5pt" o:hralign="center" o:hrstd="t" o:hr="t"/>
        </w:pict>
      </w:r>
    </w:p>
    <w:bookmarkStart w:id="38" w:name="key-findings-and-hotspots"/>
    <w:p>
      <w:pPr>
        <w:pStyle w:val="Heading2"/>
      </w:pPr>
      <w:r>
        <w:t xml:space="preserve">3. Key Findings and Hotspots</w:t>
      </w:r>
    </w:p>
    <w:p>
      <w:pPr>
        <w:pStyle w:val="FirstParagraph"/>
      </w:pPr>
      <w:r>
        <w:t xml:space="preserve">Based on the analysis, the following are expected key findings and potential hotspots:</w:t>
      </w:r>
    </w:p>
    <w:p>
      <w:pPr>
        <w:numPr>
          <w:ilvl w:val="0"/>
          <w:numId w:val="1010"/>
        </w:numPr>
        <w:pStyle w:val="Compact"/>
      </w:pPr>
      <w:r>
        <w:rPr>
          <w:bCs/>
          <w:b/>
        </w:rPr>
        <w:t xml:space="preserve">Material Impact:</w:t>
      </w:r>
      <w:r>
        <w:t xml:space="preserve"> </w:t>
      </w:r>
      <w:r>
        <w:t xml:space="preserve">Given the detailed BOM</w:t>
      </w:r>
      <w:r>
        <w:t xml:space="preserve"> </w:t>
      </w:r>
      <w:r>
        <w:rPr>
          <w:bCs/>
          <w:b/>
        </w:rPr>
        <w:t xml:space="preserve">hzndsutq</w:t>
      </w:r>
      <w:r>
        <w:t xml:space="preserve">, material acquisition and pre-processing are likely to be a significant contributor, especially for energy-intensive materials like aluminum or specific complex electronic components. The precise impact depends on the specific emission factors for each BOM item.</w:t>
      </w:r>
    </w:p>
    <w:p>
      <w:pPr>
        <w:numPr>
          <w:ilvl w:val="0"/>
          <w:numId w:val="1010"/>
        </w:numPr>
        <w:pStyle w:val="Compact"/>
      </w:pPr>
      <w:r>
        <w:rPr>
          <w:bCs/>
          <w:b/>
        </w:rPr>
        <w:t xml:space="preserve">Manufacturing Energy:</w:t>
      </w:r>
      <w:r>
        <w:t xml:space="preserve"> </w:t>
      </w:r>
      <w:r>
        <w:t xml:space="preserve">The energy intensity (</w:t>
      </w:r>
      <w:r>
        <w:rPr>
          <w:bCs/>
          <w:b/>
        </w:rPr>
        <w:t xml:space="preserve">eyhphrnwky</w:t>
      </w:r>
      <w:r>
        <w:t xml:space="preserve">) and the mix of renewable energy (</w:t>
      </w:r>
      <w:r>
        <w:rPr>
          <w:bCs/>
          <w:b/>
        </w:rPr>
        <w:t xml:space="preserve">jlgoxsnmjm</w:t>
      </w:r>
      <w:r>
        <w:t xml:space="preserve">) in China will dictate the manufacturing footprint. A lower renewable energy percentage would make this a hotspot, given China\'s grid emission factor of approximately 0.58 kgCO2e/kWh.</w:t>
      </w:r>
    </w:p>
    <w:p>
      <w:pPr>
        <w:numPr>
          <w:ilvl w:val="0"/>
          <w:numId w:val="1010"/>
        </w:numPr>
        <w:pStyle w:val="Compact"/>
      </w:pPr>
      <w:r>
        <w:rPr>
          <w:bCs/>
          <w:b/>
        </w:rPr>
        <w:t xml:space="preserve">Transportation Distances:</w:t>
      </w:r>
      <w:r>
        <w:t xml:space="preserve"> </w:t>
      </w:r>
      <w:r>
        <w:t xml:space="preserve">With a "Europe Focused" supply chain for materials and production in China, long-distance transport (</w:t>
      </w:r>
      <w:r>
        <w:rPr>
          <w:bCs/>
          <w:b/>
        </w:rPr>
        <w:t xml:space="preserve">uzqfigzrpo</w:t>
      </w:r>
      <w:r>
        <w:t xml:space="preserve">) will contribute substantially to Scope 3 emissions, especially if less efficient modes (e.g., air freight) are part of</w:t>
      </w:r>
      <w:r>
        <w:t xml:space="preserve"> </w:t>
      </w:r>
      <w:r>
        <w:rPr>
          <w:bCs/>
          <w:b/>
        </w:rPr>
        <w:t xml:space="preserve">Select Mode</w:t>
      </w:r>
      <w:r>
        <w:t xml:space="preserve">. Road and ocean transport emission factors (e.g., 0.08 kgCO2e/tkm for truck, 0.015 kgCO2e/tkm for ocean) highlight the impact of distance. Last-mile delivery (</w:t>
      </w:r>
      <w:r>
        <w:rPr>
          <w:bCs/>
          <w:b/>
        </w:rPr>
        <w:t xml:space="preserve">Delivery Type</w:t>
      </w:r>
      <w:r>
        <w:t xml:space="preserve">, e.g., using vans with an illustrative factor of 0.12 kgCO2e/tkm) will add further, localized impacts.</w:t>
      </w:r>
    </w:p>
    <w:p>
      <w:pPr>
        <w:numPr>
          <w:ilvl w:val="0"/>
          <w:numId w:val="1010"/>
        </w:numPr>
        <w:pStyle w:val="Compact"/>
      </w:pPr>
      <w:r>
        <w:rPr>
          <w:bCs/>
          <w:b/>
        </w:rPr>
        <w:t xml:space="preserve">Use Phase Consumption:</w:t>
      </w:r>
      <w:r>
        <w:t xml:space="preserve"> </w:t>
      </w:r>
      <w:r>
        <w:t xml:space="preserve">If</w:t>
      </w:r>
      <w:r>
        <w:t xml:space="preserve"> </w:t>
      </w:r>
      <w:r>
        <w:rPr>
          <w:bCs/>
          <w:b/>
        </w:rPr>
        <w:t xml:space="preserve">gyifstvnqg</w:t>
      </w:r>
      <w:r>
        <w:t xml:space="preserve"> </w:t>
      </w:r>
      <w:r>
        <w:t xml:space="preserve">is an energy-intensive product during its lifespan (</w:t>
      </w:r>
      <w:r>
        <w:rPr>
          <w:bCs/>
          <w:b/>
        </w:rPr>
        <w:t xml:space="preserve">rfxfrwmjze</w:t>
      </w:r>
      <w:r>
        <w:t xml:space="preserve"> </w:t>
      </w:r>
      <w:r>
        <w:t xml:space="preserve">over</w:t>
      </w:r>
      <w:r>
        <w:t xml:space="preserve"> </w:t>
      </w:r>
      <w:r>
        <w:rPr>
          <w:bCs/>
          <w:b/>
        </w:rPr>
        <w:t xml:space="preserve">lupvjideik</w:t>
      </w:r>
      <w:r>
        <w:t xml:space="preserve">), the use phase will be a major hotspot, particularly in regions with high-carbon electricity grids.</w:t>
      </w:r>
    </w:p>
    <w:p>
      <w:pPr>
        <w:numPr>
          <w:ilvl w:val="0"/>
          <w:numId w:val="1010"/>
        </w:numPr>
        <w:pStyle w:val="Compact"/>
      </w:pPr>
      <w:r>
        <w:rPr>
          <w:bCs/>
          <w:b/>
        </w:rPr>
        <w:t xml:space="preserve">End-of-Life Challenges:</w:t>
      </w:r>
      <w:r>
        <w:t xml:space="preserve"> </w:t>
      </w:r>
      <w:r>
        <w:t xml:space="preserve">A low recyclability percentage (</w:t>
      </w:r>
      <w:r>
        <w:rPr>
          <w:bCs/>
          <w:b/>
        </w:rPr>
        <w:t xml:space="preserve">xxxoypxeyi</w:t>
      </w:r>
      <w:r>
        <w:t xml:space="preserve">) or limited success of circular programs (</w:t>
      </w:r>
      <w:r>
        <w:rPr>
          <w:bCs/>
          <w:b/>
        </w:rPr>
        <w:t xml:space="preserve">ymlshlttzh</w:t>
      </w:r>
      <w:r>
        <w:t xml:space="preserve">) would lead to higher EoL emissions, primarily from landfilling (illustrative 0.6 kgCO2e/kg for mixed waste). Effective recycling (e.g., for aluminum, with an illustrative avoided burden of -8.0 kgCO2e/kg) could significantly reduce this impact.</w:t>
      </w:r>
    </w:p>
    <w:bookmarkEnd w:id="38"/>
    <w:p>
      <w:r>
        <w:pict>
          <v:rect style="width:0;height:1.5pt" o:hralign="center" o:hrstd="t" o:hr="t"/>
        </w:pict>
      </w:r>
    </w:p>
    <w:bookmarkStart w:id="39" w:name="recommendations"/>
    <w:p>
      <w:pPr>
        <w:pStyle w:val="Heading2"/>
      </w:pPr>
      <w:r>
        <w:t xml:space="preserve">4. Recommendations</w:t>
      </w:r>
    </w:p>
    <w:p>
      <w:pPr>
        <w:pStyle w:val="FirstParagraph"/>
      </w:pPr>
      <w:r>
        <w:t xml:space="preserve">To mitigate the identified carbon hotspots and improve the sustainability performance of</w:t>
      </w:r>
      <w:r>
        <w:t xml:space="preserve"> </w:t>
      </w:r>
      <w:r>
        <w:rPr>
          <w:bCs/>
          <w:b/>
        </w:rPr>
        <w:t xml:space="preserve">gyifstvnqg</w:t>
      </w:r>
      <w:r>
        <w:t xml:space="preserve">, the following recommendations are provided:</w:t>
      </w:r>
    </w:p>
    <w:p>
      <w:pPr>
        <w:numPr>
          <w:ilvl w:val="0"/>
          <w:numId w:val="1011"/>
        </w:numPr>
        <w:pStyle w:val="Compact"/>
      </w:pPr>
      <w:r>
        <w:rPr>
          <w:bCs/>
          <w:b/>
        </w:rPr>
        <w:t xml:space="preserve">Material Optimization:</w:t>
      </w:r>
      <w:r>
        <w:t xml:space="preserve"> </w:t>
      </w:r>
      <w:r>
        <w:t xml:space="preserve">Investigate opportunities for material lightweighting, substitution with lower-carbon alternatives (e.g., recycled content, bio-based materials with certified sustainable sourcing), and design for deconstruction to improve recyclability.</w:t>
      </w:r>
    </w:p>
    <w:p>
      <w:pPr>
        <w:numPr>
          <w:ilvl w:val="0"/>
          <w:numId w:val="1011"/>
        </w:numPr>
        <w:pStyle w:val="Compact"/>
      </w:pPr>
      <w:r>
        <w:rPr>
          <w:bCs/>
          <w:b/>
        </w:rPr>
        <w:t xml:space="preserve">Renewable Energy Transition:</w:t>
      </w:r>
      <w:r>
        <w:t xml:space="preserve"> </w:t>
      </w:r>
      <w:r>
        <w:t xml:space="preserve">Increase the percentage of renewable energy (</w:t>
      </w:r>
      <w:r>
        <w:rPr>
          <w:bCs/>
          <w:b/>
        </w:rPr>
        <w:t xml:space="preserve">jlgoxsnmjm</w:t>
      </w:r>
      <w:r>
        <w:t xml:space="preserve">) used in manufacturing operations at the China facility. Explore virtual power purchase agreements or on-site renewable energy generation to reduce reliance on the carbon-intensive grid.</w:t>
      </w:r>
    </w:p>
    <w:p>
      <w:pPr>
        <w:numPr>
          <w:ilvl w:val="0"/>
          <w:numId w:val="1011"/>
        </w:numPr>
        <w:pStyle w:val="Compact"/>
      </w:pPr>
      <w:r>
        <w:rPr>
          <w:bCs/>
          <w:b/>
        </w:rPr>
        <w:t xml:space="preserve">Logistics Efficiency:</w:t>
      </w:r>
      <w:r>
        <w:t xml:space="preserve"> </w:t>
      </w:r>
      <w:r>
        <w:t xml:space="preserve">Optimize transport routes and modes (</w:t>
      </w:r>
      <w:r>
        <w:rPr>
          <w:bCs/>
          <w:b/>
        </w:rPr>
        <w:t xml:space="preserve">Select Mode</w:t>
      </w:r>
      <w:r>
        <w:t xml:space="preserve">) to prioritize lower-emission options (e.g., rail, ocean freight over air freight). Consolidate shipments and explore local sourcing options where feasible to reduce</w:t>
      </w:r>
      <w:r>
        <w:t xml:space="preserve"> </w:t>
      </w:r>
      <w:r>
        <w:rPr>
          <w:bCs/>
          <w:b/>
        </w:rPr>
        <w:t xml:space="preserve">uzqfigzrpo</w:t>
      </w:r>
      <w:r>
        <w:t xml:space="preserve">. Optimize last-mile delivery (</w:t>
      </w:r>
      <w:r>
        <w:rPr>
          <w:bCs/>
          <w:b/>
        </w:rPr>
        <w:t xml:space="preserve">Delivery Type</w:t>
      </w:r>
      <w:r>
        <w:t xml:space="preserve">) with electric vehicles or efficient routing.</w:t>
      </w:r>
    </w:p>
    <w:p>
      <w:pPr>
        <w:numPr>
          <w:ilvl w:val="0"/>
          <w:numId w:val="1011"/>
        </w:numPr>
        <w:pStyle w:val="Compact"/>
      </w:pPr>
      <w:r>
        <w:rPr>
          <w:bCs/>
          <w:b/>
        </w:rPr>
        <w:t xml:space="preserve">Energy Efficiency in Use:</w:t>
      </w:r>
      <w:r>
        <w:t xml:space="preserve"> </w:t>
      </w:r>
      <w:r>
        <w:t xml:space="preserve">Improve the energy efficiency of</w:t>
      </w:r>
      <w:r>
        <w:t xml:space="preserve"> </w:t>
      </w:r>
      <w:r>
        <w:rPr>
          <w:bCs/>
          <w:b/>
        </w:rPr>
        <w:t xml:space="preserve">gyifstvnqg</w:t>
      </w:r>
      <w:r>
        <w:t xml:space="preserve"> </w:t>
      </w:r>
      <w:r>
        <w:t xml:space="preserve">during its operational lifespan (reducing</w:t>
      </w:r>
      <w:r>
        <w:t xml:space="preserve"> </w:t>
      </w:r>
      <w:r>
        <w:rPr>
          <w:bCs/>
          <w:b/>
        </w:rPr>
        <w:t xml:space="preserve">rfxfrwmjze</w:t>
      </w:r>
      <w:r>
        <w:t xml:space="preserve">). Educate consumers on efficient product use and maintenance to extend</w:t>
      </w:r>
      <w:r>
        <w:t xml:space="preserve"> </w:t>
      </w:r>
      <w:r>
        <w:rPr>
          <w:bCs/>
          <w:b/>
        </w:rPr>
        <w:t xml:space="preserve">lupvjideik</w:t>
      </w:r>
      <w:r>
        <w:t xml:space="preserve">.</w:t>
      </w:r>
    </w:p>
    <w:p>
      <w:pPr>
        <w:numPr>
          <w:ilvl w:val="0"/>
          <w:numId w:val="1011"/>
        </w:numPr>
        <w:pStyle w:val="Compact"/>
      </w:pPr>
      <w:r>
        <w:rPr>
          <w:bCs/>
          <w:b/>
        </w:rPr>
        <w:t xml:space="preserve">Circular Economy Integration:</w:t>
      </w:r>
      <w:r>
        <w:t xml:space="preserve"> </w:t>
      </w:r>
      <w:r>
        <w:t xml:space="preserve">Enhance product design for recyclability and durability. Strengthen and expand circular/take-back programs (</w:t>
      </w:r>
      <w:r>
        <w:rPr>
          <w:bCs/>
          <w:b/>
        </w:rPr>
        <w:t xml:space="preserve">ymlshlttzh</w:t>
      </w:r>
      <w:r>
        <w:t xml:space="preserve">) to ensure a higher percentage of products (</w:t>
      </w:r>
      <w:r>
        <w:rPr>
          <w:bCs/>
          <w:b/>
        </w:rPr>
        <w:t xml:space="preserve">xxxoypxeyi</w:t>
      </w:r>
      <w:r>
        <w:t xml:space="preserve">) are recycled, reused, or refurbished, thus maximizing material value and minimizing waste.</w:t>
      </w:r>
    </w:p>
    <w:p>
      <w:pPr>
        <w:numPr>
          <w:ilvl w:val="0"/>
          <w:numId w:val="1011"/>
        </w:numPr>
        <w:pStyle w:val="Compact"/>
      </w:pPr>
      <w:r>
        <w:rPr>
          <w:bCs/>
          <w:b/>
        </w:rPr>
        <w:t xml:space="preserve">LSR Integration:</w:t>
      </w:r>
      <w:r>
        <w:t xml:space="preserve"> </w:t>
      </w:r>
      <w:r>
        <w:t xml:space="preserve">Deepen analysis into raw material sourcing to identify and mitigate land use change impacts. Support suppliers engaged in sustainable land management and reforestation initiatives, as guided by the upcoming LSR Guidance in Q2 2026.</w:t>
      </w:r>
    </w:p>
    <w:bookmarkEnd w:id="39"/>
    <w:p>
      <w:r>
        <w:pict>
          <v:rect style="width:0;height:1.5pt" o:hralign="center" o:hrstd="t" o:hr="t"/>
        </w:pict>
      </w:r>
    </w:p>
    <w:bookmarkStart w:id="40" w:name="disclaimer"/>
    <w:p>
      <w:pPr>
        <w:pStyle w:val="Heading2"/>
      </w:pPr>
      <w:r>
        <w:t xml:space="preserve">5. Disclaimer</w:t>
      </w:r>
    </w:p>
    <w:p>
      <w:pPr>
        <w:pStyle w:val="FirstParagraph"/>
      </w:pPr>
      <w:r>
        <w:t xml:space="preserve">This report is prepared for</w:t>
      </w:r>
      <w:r>
        <w:t xml:space="preserve"> </w:t>
      </w:r>
      <w:r>
        <w:rPr>
          <w:bCs/>
          <w:b/>
        </w:rPr>
        <w:t xml:space="preserve">vqisuzzpnd</w:t>
      </w:r>
      <w:r>
        <w:t xml:space="preserve"> </w:t>
      </w:r>
      <w:r>
        <w:t xml:space="preserve">by</w:t>
      </w:r>
      <w:r>
        <w:t xml:space="preserve"> </w:t>
      </w:r>
      <w:r>
        <w:rPr>
          <w:bCs/>
          <w:b/>
        </w:rPr>
        <w:t xml:space="preserve">huwethsdtl</w:t>
      </w:r>
      <w:r>
        <w:t xml:space="preserve">, Senior Sustainability Consultant, using the parameters and data placeholders provided. While every effort has been made to ensure accuracy and adherence to the</w:t>
      </w:r>
      <w:r>
        <w:t xml:space="preserve"> </w:t>
      </w:r>
      <w:r>
        <w:rPr>
          <w:bCs/>
          <w:b/>
        </w:rPr>
        <w:t xml:space="preserve">GHG Protocol</w:t>
      </w:r>
      <w:r>
        <w:t xml:space="preserve"> </w:t>
      </w:r>
      <w:r>
        <w:t xml:space="preserve">Product Life Cycle Accounting and Reporting Standard and 2026 LSR update, the actual numerical results of the PCF are dependent on the precise, quantitative data for all specified parameters (e.g.,</w:t>
      </w:r>
      <w:r>
        <w:t xml:space="preserve"> </w:t>
      </w:r>
      <w:r>
        <w:rPr>
          <w:bCs/>
          <w:b/>
        </w:rPr>
        <w:t xml:space="preserve">hzndsutq</w:t>
      </w:r>
      <w:r>
        <w:t xml:space="preserve">,</w:t>
      </w:r>
      <w:r>
        <w:t xml:space="preserve"> </w:t>
      </w:r>
      <w:r>
        <w:rPr>
          <w:bCs/>
          <w:b/>
        </w:rPr>
        <w:t xml:space="preserve">uzqfigzrpo</w:t>
      </w:r>
      <w:r>
        <w:t xml:space="preserve">,</w:t>
      </w:r>
      <w:r>
        <w:t xml:space="preserve"> </w:t>
      </w:r>
      <w:r>
        <w:rPr>
          <w:bCs/>
          <w:b/>
        </w:rPr>
        <w:t xml:space="preserve">eyhphrnwky</w:t>
      </w:r>
      <w:r>
        <w:t xml:space="preserve">, etc.). This report provides a methodological framework and illustrative calculations. It should be used as a guide for strategic decision-making and continuous improvement, not as a definitive declaration of environmental performance without fully validated, primary quantitative data for all inputs.</w:t>
      </w:r>
    </w:p>
    <w:bookmarkEnd w:id="4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gyifstvnqg</dc:title>
  <dc:creator/>
  <dc:description>Detailed Product Carbon Footprint analysis for gyifstvnqg, adhering to GHG Protocol standards and 2026 LSR update. This report was prepared by huwethsdtl for vqisuzzpnd.</dc:description>
  <cp:keywords/>
  <dcterms:created xsi:type="dcterms:W3CDTF">2026-07-15T17:56:17Z</dcterms:created>
  <dcterms:modified xsi:type="dcterms:W3CDTF">2026-07-15T17:56:17Z</dcterms:modified>
</cp:coreProperties>
</file>

<file path=docProps/custom.xml><?xml version="1.0" encoding="utf-8"?>
<Properties xmlns="http://schemas.openxmlformats.org/officeDocument/2006/custom-properties" xmlns:vt="http://schemas.openxmlformats.org/officeDocument/2006/docPropsVTypes"/>
</file>