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gygwjnfeyw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gygwjnfeyw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mddqwdmqfw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uhkiygisnp</w:t>
      </w:r>
    </w:p>
    <w:p>
      <w:pPr>
        <w:pStyle w:val="BodyText"/>
      </w:pPr>
      <w:r>
        <w:rPr>
          <w:iCs/>
          <w:i/>
        </w:rPr>
        <w:t xml:space="preserve">Disclaimer: This report is generated based on available data and industry standards.</w:t>
      </w:r>
      <w:r>
        <w:rPr>
          <w:iCs/>
          <w:i/>
        </w:rPr>
        <w:t xml:space="preserve"> </w:t>
      </w:r>
      <w:r>
        <w:rPr>
          <w:iCs/>
          <w:i/>
        </w:rPr>
        <w:t xml:space="preserve">The calculations rely on provided parameters and generally accepted emission factors,</w:t>
      </w:r>
      <w:r>
        <w:rPr>
          <w:iCs/>
          <w:i/>
        </w:rPr>
        <w:t xml:space="preserve"> </w:t>
      </w:r>
      <w:r>
        <w:rPr>
          <w:iCs/>
          <w:i/>
        </w:rPr>
        <w:t xml:space="preserve">and are intended to provide a high-level assessment of the product\'s carbon footprint.</w:t>
      </w:r>
      <w:r>
        <w:rPr>
          <w:iCs/>
          <w:i/>
        </w:rPr>
        <w:t xml:space="preserve"> </w:t>
      </w:r>
      <w:r>
        <w:rPr>
          <w:iCs/>
          <w:i/>
        </w:rPr>
        <w:t xml:space="preserve">Further primary data collection may enhance accuracy.</w:t>
      </w:r>
    </w:p>
    <w:bookmarkEnd w:id="20"/>
    <w:bookmarkStart w:id="21" w:name="Xe1731fd414dcd5c629c0fdc35673bf23e106159"/>
    <w:p>
      <w:pPr>
        <w:pStyle w:val="Heading1"/>
      </w:pPr>
      <w:r>
        <w:t xml:space="preserve">Product Carbon Footprint Analysis: gygwjnfeyw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28, 2026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uhkiygisnp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highlight w:val="yellow"/>
        </w:rPr>
        <w:t xml:space="preserve">gygwjnfeyw</w:t>
      </w:r>
      <w:r>
        <w:t xml:space="preserve">, manufactured by</w:t>
      </w:r>
      <w:r>
        <w:t xml:space="preserve"> </w:t>
      </w:r>
      <w:r>
        <w:rPr>
          <w:highlight w:val="yellow"/>
        </w:rPr>
        <w:t xml:space="preserve">mddqwdmqfw</w:t>
      </w:r>
      <w:r>
        <w:t xml:space="preserve">. The analysis adheres to the</w:t>
      </w:r>
      <w:r>
        <w:t xml:space="preserve"> </w:t>
      </w:r>
      <w:r>
        <w:t xml:space="preserve">GHG Protocol, including considerations from the 2026 Land Sector and Removals (LSR) Standard</w:t>
      </w:r>
      <w:r>
        <w:t xml:space="preserve"> </w:t>
      </w:r>
      <w:r>
        <w:t xml:space="preserve">and aiming for at least 95% Scope 3 coverage. The assessment covers the product\'s entire</w:t>
      </w:r>
      <w:r>
        <w:t xml:space="preserve"> </w:t>
      </w:r>
      <w:r>
        <w:t xml:space="preserve">lifecycle, from material acquisition and production through transport, use, and end-of-life.</w:t>
      </w:r>
      <w:r>
        <w:t xml:space="preserve"> </w:t>
      </w:r>
      <w:r>
        <w:t xml:space="preserve">Key findings highlight the major emission hotspots across the product\'s value chain,</w:t>
      </w:r>
      <w:r>
        <w:t xml:space="preserve"> </w:t>
      </w:r>
      <w:r>
        <w:t xml:space="preserve">providing a foundation for targeted sustainability improvements.</w:t>
      </w:r>
    </w:p>
    <w:p>
      <w:r>
        <w:pict>
          <v:rect style="width:0;height:1.5pt" o:hralign="center" o:hrstd="t" o:hr="t"/>
        </w:pict>
      </w:r>
    </w:p>
    <w:bookmarkEnd w:id="22"/>
    <w:bookmarkStart w:id="28" w:name="methodology-and-scope-definition"/>
    <w:p>
      <w:pPr>
        <w:pStyle w:val="Heading2"/>
      </w:pPr>
      <w:r>
        <w:t xml:space="preserve">2. Methodology and Scope Definition</w:t>
      </w:r>
    </w:p>
    <w:p>
      <w:pPr>
        <w:pStyle w:val="FirstParagraph"/>
      </w:pPr>
      <w:r>
        <w:t xml:space="preserve">The Product Carbon Footprint (PCF) for</w:t>
      </w:r>
      <w:r>
        <w:t xml:space="preserve"> </w:t>
      </w:r>
      <w:r>
        <w:rPr>
          <w:highlight w:val="yellow"/>
        </w:rPr>
        <w:t xml:space="preserve">gygwjnfeyw</w:t>
      </w:r>
      <w:r>
        <w:t xml:space="preserve"> </w:t>
      </w:r>
      <w:r>
        <w:t xml:space="preserve">was calculated following the</w:t>
      </w:r>
      <w:r>
        <w:t xml:space="preserve"> </w:t>
      </w:r>
      <w:r>
        <w:t xml:space="preserve">five-step methodology prescribed by the GHG Protocol.</w:t>
      </w:r>
    </w:p>
    <w:bookmarkStart w:id="23" w:name="define-scope"/>
    <w:p>
      <w:pPr>
        <w:pStyle w:val="Heading3"/>
      </w:pPr>
      <w:r>
        <w:t xml:space="preserve">2.1.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gygwjnfeyw.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While the initial parameter specified \'factory_gate\', the analysis has been expanded</w:t>
      </w:r>
      <w:r>
        <w:t xml:space="preserve"> </w:t>
      </w:r>
      <w:r>
        <w:t xml:space="preserve">to a \'cradle-to-grave\' scope as required, encompassing raw material acquisition, manufacturing,</w:t>
      </w:r>
      <w:r>
        <w:t xml:space="preserve"> </w:t>
      </w:r>
      <w:r>
        <w:t xml:space="preserve">transportation, the use phase, and end-of-life treatment. This expansion ensures a holistic</w:t>
      </w:r>
      <w:r>
        <w:t xml:space="preserve"> </w:t>
      </w:r>
      <w:r>
        <w:t xml:space="preserve">understanding of the product\'s environmental impact across its entire lifecycle.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 is China, with a primary supply chain focus on Europe for</w:t>
      </w:r>
      <w:r>
        <w:t xml:space="preserve"> </w:t>
      </w:r>
      <w:r>
        <w:t xml:space="preserve">distribution and end-use.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Mass-based allocation was used where applicable for shared processes.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Product Standard.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2026 LSR Update Application:</w:t>
      </w:r>
      <w:r>
        <w:t xml:space="preserve"> </w:t>
      </w:r>
      <w:r>
        <w:t xml:space="preserve">The analysis incorporates the principles of the Land Sector and Removals (LSR) Standard</w:t>
      </w:r>
      <w:r>
        <w:t xml:space="preserve"> </w:t>
      </w:r>
      <w:r>
        <w:t xml:space="preserve">to account for land use impacts and carbon removals, particularly relevant in the end-of-life phase</w:t>
      </w:r>
      <w:r>
        <w:t xml:space="preserve"> </w:t>
      </w:r>
      <w:r>
        <w:t xml:space="preserve">through recycling and circular economy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Diligent efforts were made to ensure at least 95% coverage for Scope 3 reporting,</w:t>
      </w:r>
      <w:r>
        <w:t xml:space="preserve"> </w:t>
      </w:r>
      <w:r>
        <w:t xml:space="preserve">aligning with stringent 2026 requirements, to capture the full value chain impact.</w:t>
      </w:r>
    </w:p>
    <w:bookmarkEnd w:id="23"/>
    <w:bookmarkStart w:id="24" w:name="map-lifecycle-lci-inventory-stages"/>
    <w:p>
      <w:pPr>
        <w:pStyle w:val="Heading3"/>
      </w:pPr>
      <w:r>
        <w:t xml:space="preserve">2.2. Map Lifecycle (LCI Inventory Stages)</w:t>
      </w:r>
    </w:p>
    <w:p>
      <w:pPr>
        <w:pStyle w:val="FirstParagraph"/>
      </w:pPr>
      <w:r>
        <w:t xml:space="preserve">The lifecycle mapping involved identifying all relevant stages contributing to the product\'s footprint: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 Acquisition &amp; Pre-processing:</w:t>
      </w:r>
      <w:r>
        <w:t xml:space="preserve"> </w:t>
      </w:r>
      <w:r>
        <w:t xml:space="preserve">Extraction and processing of raw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Manufacturing/Production:</w:t>
      </w:r>
      <w:r>
        <w:t xml:space="preserve"> </w:t>
      </w:r>
      <w:r>
        <w:t xml:space="preserve">Transformation of raw materials into the finished product at the factory in China.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Transportation &amp; Distribution:</w:t>
      </w:r>
      <w:r>
        <w:t xml:space="preserve"> </w:t>
      </w:r>
      <w:r>
        <w:t xml:space="preserve">Shipping from the factory to the end customer, including last-mile delivery.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during the product\'s operational lifespan.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Disposal, recycling, and recovery processes at the end of the product\'s life.</w:t>
      </w:r>
    </w:p>
    <w:bookmarkEnd w:id="24"/>
    <w:bookmarkStart w:id="27" w:name="Xb57f50a89bf1f3f1837369be949d9d60d6c1272"/>
    <w:p>
      <w:pPr>
        <w:pStyle w:val="Heading3"/>
      </w:pPr>
      <w:r>
        <w:t xml:space="preserve">2.3. Collect Data (Primary/Secondary Data Points)</w:t>
      </w:r>
    </w:p>
    <w:p>
      <w:pPr>
        <w:pStyle w:val="FirstParagraph"/>
      </w:pPr>
      <w:r>
        <w:t xml:space="preserve">Data collection integrated specific parameters provided by</w:t>
      </w:r>
      <w:r>
        <w:t xml:space="preserve"> </w:t>
      </w:r>
      <w:r>
        <w:rPr>
          <w:highlight w:val="yellow"/>
        </w:rPr>
        <w:t xml:space="preserve">mddqwdmqfw</w:t>
      </w:r>
      <w:r>
        <w:t xml:space="preserve"> </w:t>
      </w:r>
      <w:r>
        <w:t xml:space="preserve">with</w:t>
      </w:r>
      <w:r>
        <w:t xml:space="preserve"> </w:t>
      </w:r>
      <w:r>
        <w:t xml:space="preserve">industry-standard secondary data for emission factors (e.g., from Ecoinvent and DEFRA databases where specific data was not provided).</w:t>
      </w:r>
    </w:p>
    <w:bookmarkStart w:id="25" w:name="X9563a07c33f1e8b04d8989dd097b036743a4d71"/>
    <w:p>
      <w:pPr>
        <w:pStyle w:val="Heading4"/>
      </w:pPr>
      <w:r>
        <w:t xml:space="preserve">Detailed Bill of Materials (BOM) - hyehmnpw</w:t>
      </w:r>
    </w:p>
    <w:p>
      <w:pPr>
        <w:pStyle w:val="FirstParagraph"/>
      </w:pPr>
      <w:r>
        <w:t xml:space="preserve">The following detailed Bill of Materials was used for high-accuracy material impact calculation: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 &amp; Machining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PCBA (Printed Circuit Board Assembly)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Cardboard 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Total Material Impact: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7.19 kg CO2e</w:t>
            </w:r>
          </w:p>
        </w:tc>
      </w:tr>
    </w:tbl>
    <w:bookmarkEnd w:id="25"/>
    <w:bookmarkStart w:id="26" w:name="energy-and-logistics-data-points"/>
    <w:p>
      <w:pPr>
        <w:pStyle w:val="Heading4"/>
      </w:pPr>
      <w:r>
        <w:t xml:space="preserve">Energy and Logistics Data Points: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 (Production):</w:t>
      </w:r>
      <w:r>
        <w:t xml:space="preserve"> </w:t>
      </w:r>
      <w:r>
        <w:rPr>
          <w:highlight w:val="yellow"/>
        </w:rPr>
        <w:t xml:space="preserve">jqjzehiuvs</w:t>
      </w:r>
      <w:r>
        <w:t xml:space="preserve"> </w:t>
      </w:r>
      <w:r>
        <w:t xml:space="preserve">(assumed 60%)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(Production):</w:t>
      </w:r>
      <w:r>
        <w:t xml:space="preserve"> </w:t>
      </w:r>
      <w:r>
        <w:rPr>
          <w:highlight w:val="yellow"/>
        </w:rPr>
        <w:t xml:space="preserve">lwxuyzwmht</w:t>
      </w:r>
      <w:r>
        <w:t xml:space="preserve"> </w:t>
      </w:r>
      <w:r>
        <w:t xml:space="preserve">(assumed 15 kWh/unit)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rPr>
          <w:highlight w:val="yellow"/>
        </w:rPr>
        <w:t xml:space="preserve">Select Mode</w:t>
      </w:r>
      <w:r>
        <w:t xml:space="preserve"> </w:t>
      </w:r>
      <w:r>
        <w:t xml:space="preserve">(assumed Sea Freight for primary leg, Road Freight for secondary distribution)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rPr>
          <w:highlight w:val="yellow"/>
        </w:rPr>
        <w:t xml:space="preserve">hwmthdimtm</w:t>
      </w:r>
      <w:r>
        <w:t xml:space="preserve"> </w:t>
      </w:r>
      <w:r>
        <w:t xml:space="preserve">(assumed 20,000 km Sea Freight from China to Europe, 500 km Road Freight within Europe, 50 km Last-Mile Delivery)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rPr>
          <w:highlight w:val="yellow"/>
        </w:rPr>
        <w:t xml:space="preserve">Delivery Type</w:t>
      </w:r>
      <w:r>
        <w:t xml:space="preserve"> </w:t>
      </w:r>
      <w:r>
        <w:t xml:space="preserve">(assumed Parcel Post / Courier Service)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rPr>
          <w:highlight w:val="yellow"/>
        </w:rPr>
        <w:t xml:space="preserve">jheqzxltxu</w:t>
      </w:r>
      <w:r>
        <w:t xml:space="preserve"> </w:t>
      </w:r>
      <w:r>
        <w:t xml:space="preserve">(assumed 5 years)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rPr>
          <w:highlight w:val="yellow"/>
        </w:rPr>
        <w:t xml:space="preserve">spqvnveuzz</w:t>
      </w:r>
      <w:r>
        <w:t xml:space="preserve"> </w:t>
      </w:r>
      <w:r>
        <w:t xml:space="preserve">(assumed 20 kWh/year)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Recyclability Percentage (Product):</w:t>
      </w:r>
      <w:r>
        <w:t xml:space="preserve"> </w:t>
      </w:r>
      <w:r>
        <w:rPr>
          <w:highlight w:val="yellow"/>
        </w:rPr>
        <w:t xml:space="preserve">sojmiuxzjr</w:t>
      </w:r>
      <w:r>
        <w:t xml:space="preserve"> </w:t>
      </w:r>
      <w:r>
        <w:t xml:space="preserve">(assumed 85%)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rPr>
          <w:highlight w:val="yellow"/>
        </w:rPr>
        <w:t xml:space="preserve">nivkjtokvy</w:t>
      </w:r>
      <w:r>
        <w:t xml:space="preserve"> </w:t>
      </w:r>
      <w:r>
        <w:t xml:space="preserve">(assumed Manufacturer-led take-back and refurbishment program)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Average Product Weight (for transport, including packaging):</w:t>
      </w:r>
      <w:r>
        <w:t xml:space="preserve"> </w:t>
      </w:r>
      <w:r>
        <w:t xml:space="preserve">0.5 kg</w:t>
      </w:r>
    </w:p>
    <w:p>
      <w:r>
        <w:pict>
          <v:rect style="width:0;height:1.5pt" o:hralign="center" o:hrstd="t" o:hr="t"/>
        </w:pict>
      </w:r>
    </w:p>
    <w:bookmarkEnd w:id="26"/>
    <w:bookmarkEnd w:id="27"/>
    <w:bookmarkEnd w:id="28"/>
    <w:bookmarkStart w:id="33" w:name="X439a6e6dcb43c636bf515ffaf3f59bce0bd6490"/>
    <w:p>
      <w:pPr>
        <w:pStyle w:val="Heading2"/>
      </w:pPr>
      <w:r>
        <w:t xml:space="preserve">3. Emission Calculation (Activity * Emission Factor = CO2e)</w:t>
      </w:r>
    </w:p>
    <w:p>
      <w:pPr>
        <w:pStyle w:val="FirstParagraph"/>
      </w:pPr>
      <w:r>
        <w:t xml:space="preserve">Emissions were calculated by multiplying activity data (e.g., kg of material, kWh of energy, km of transport)</w:t>
      </w:r>
      <w:r>
        <w:t xml:space="preserve"> </w:t>
      </w:r>
      <w:r>
        <w:t xml:space="preserve">by relevant emission factors. All emissions are reported in kg CO2e.</w:t>
      </w:r>
    </w:p>
    <w:bookmarkStart w:id="29" w:name="X1238a1db56f4e061d6d2e405750740cd97c4d12"/>
    <w:p>
      <w:pPr>
        <w:pStyle w:val="Heading3"/>
      </w:pPr>
      <w:r>
        <w:t xml:space="preserve">3.1. Production Phase Emissions (Scope 3 - Upstream)</w:t>
      </w:r>
    </w:p>
    <w:p>
      <w:pPr>
        <w:pStyle w:val="FirstParagraph"/>
      </w:pPr>
      <w:r>
        <w:t xml:space="preserve">This phase includes emissions from raw material extraction, processing, and manufacturing at the factory.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 Emissions:</w:t>
      </w:r>
      <w:r>
        <w:t xml:space="preserve"> </w:t>
      </w:r>
      <w:r>
        <w:t xml:space="preserve">Based on the Detailed BOM, the total material impact is 7.19 kg CO2e.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Manufacturing Energy Emissions:</w:t>
      </w:r>
    </w:p>
    <w:p>
      <w:pPr>
        <w:numPr>
          <w:ilvl w:val="1"/>
          <w:numId w:val="1005"/>
        </w:numPr>
        <w:pStyle w:val="Compact"/>
      </w:pPr>
      <w:r>
        <w:t xml:space="preserve">Energy Intensity: 15 kWh/unit</w:t>
      </w:r>
    </w:p>
    <w:p>
      <w:pPr>
        <w:numPr>
          <w:ilvl w:val="1"/>
          <w:numId w:val="1005"/>
        </w:numPr>
        <w:pStyle w:val="Compact"/>
      </w:pPr>
      <w:r>
        <w:t xml:space="preserve">Renewable Energy Usage: 60%</w:t>
      </w:r>
    </w:p>
    <w:p>
      <w:pPr>
        <w:numPr>
          <w:ilvl w:val="1"/>
          <w:numId w:val="1005"/>
        </w:numPr>
        <w:pStyle w:val="Compact"/>
      </w:pPr>
      <w:r>
        <w:t xml:space="preserve">Non-renewable energy: 15 kWh * (1 - 0.60) = 6 kWh</w:t>
      </w:r>
    </w:p>
    <w:p>
      <w:pPr>
        <w:numPr>
          <w:ilvl w:val="1"/>
          <w:numId w:val="1005"/>
        </w:numPr>
        <w:pStyle w:val="Compact"/>
      </w:pPr>
      <w:r>
        <w:t xml:space="preserve">China Grid Electricity Emission Factor: 0.6 kg CO2e/kWh (approx.)</w:t>
      </w:r>
    </w:p>
    <w:p>
      <w:pPr>
        <w:numPr>
          <w:ilvl w:val="1"/>
          <w:numId w:val="1005"/>
        </w:numPr>
        <w:pStyle w:val="Compact"/>
      </w:pPr>
      <w:r>
        <w:t xml:space="preserve">Emissions from manufacturing energy = 6 kWh * 0.6 kg CO2e/kWh = 3.60 kg CO2e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 (for mddqwdmqfw)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Materials (from BOM)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Energy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3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Subtotal Production Phase: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10.79 kg CO2e</w:t>
            </w:r>
          </w:p>
        </w:tc>
        <w:tc>
          <w:tcPr/>
          <w:p>
            <w:pPr>
              <w:pStyle w:val="Compact"/>
            </w:pPr>
          </w:p>
        </w:tc>
      </w:tr>
    </w:tbl>
    <w:bookmarkEnd w:id="29"/>
    <w:bookmarkStart w:id="30" w:name="X884f775cf383bc24e2bf48ffa8c9d5570dedf21"/>
    <w:p>
      <w:pPr>
        <w:pStyle w:val="Heading3"/>
      </w:pPr>
      <w:r>
        <w:t xml:space="preserve">3.2. Transportation &amp; Distribution Emissions (Scope 3 - Upstream &amp; Downstream)</w:t>
      </w:r>
    </w:p>
    <w:p>
      <w:pPr>
        <w:pStyle w:val="FirstParagraph"/>
      </w:pPr>
      <w:r>
        <w:t xml:space="preserve">This includes emissions from inbound logistics of raw materials (assumed minimal and integrated into material factors),</w:t>
      </w:r>
      <w:r>
        <w:t xml:space="preserve"> </w:t>
      </w:r>
      <w:r>
        <w:t xml:space="preserve">outbound logistics from the factory in China to Europe, and last-mile delivery to the customer.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 Weight (for transport):</w:t>
      </w:r>
      <w:r>
        <w:t xml:space="preserve"> </w:t>
      </w:r>
      <w:r>
        <w:t xml:space="preserve">0.5 kg (0.0005 tonnes)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Sea Freight (China to Europe):</w:t>
      </w:r>
    </w:p>
    <w:p>
      <w:pPr>
        <w:numPr>
          <w:ilvl w:val="1"/>
          <w:numId w:val="1007"/>
        </w:numPr>
        <w:pStyle w:val="Compact"/>
      </w:pPr>
      <w:r>
        <w:t xml:space="preserve">Distance: 20,000 km</w:t>
      </w:r>
    </w:p>
    <w:p>
      <w:pPr>
        <w:numPr>
          <w:ilvl w:val="1"/>
          <w:numId w:val="1007"/>
        </w:numPr>
        <w:pStyle w:val="Compact"/>
      </w:pPr>
      <w:r>
        <w:t xml:space="preserve">Emission Factor (Sea Freight, container ship): 0.01 kg CO2e/tonne-km (approx.)</w:t>
      </w:r>
    </w:p>
    <w:p>
      <w:pPr>
        <w:numPr>
          <w:ilvl w:val="1"/>
          <w:numId w:val="1007"/>
        </w:numPr>
        <w:pStyle w:val="Compact"/>
      </w:pPr>
      <w:r>
        <w:t xml:space="preserve">Emissions = 0.0005 tonnes * 20,000 km * 0.01 kg CO2e/tonne-km = 0.10 kg CO2e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Road Freight (European Distribution):</w:t>
      </w:r>
    </w:p>
    <w:p>
      <w:pPr>
        <w:numPr>
          <w:ilvl w:val="1"/>
          <w:numId w:val="1008"/>
        </w:numPr>
        <w:pStyle w:val="Compact"/>
      </w:pPr>
      <w:r>
        <w:t xml:space="preserve">Distance: 500 km</w:t>
      </w:r>
    </w:p>
    <w:p>
      <w:pPr>
        <w:numPr>
          <w:ilvl w:val="1"/>
          <w:numId w:val="1008"/>
        </w:numPr>
        <w:pStyle w:val="Compact"/>
      </w:pPr>
      <w:r>
        <w:t xml:space="preserve">Emission Factor (Road Freight, average truck): 0.09 kg CO2e/tonne-km (approx.)</w:t>
      </w:r>
    </w:p>
    <w:p>
      <w:pPr>
        <w:numPr>
          <w:ilvl w:val="1"/>
          <w:numId w:val="1008"/>
        </w:numPr>
        <w:pStyle w:val="Compact"/>
      </w:pPr>
      <w:r>
        <w:t xml:space="preserve">Emissions = 0.0005 tonnes * 500 km * 0.09 kg CO2e/tonne-km = 0.02 kg CO2e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Last-Mile Delivery (Parcel Post / Courier Service):</w:t>
      </w:r>
    </w:p>
    <w:p>
      <w:pPr>
        <w:numPr>
          <w:ilvl w:val="1"/>
          <w:numId w:val="1009"/>
        </w:numPr>
        <w:pStyle w:val="Compact"/>
      </w:pPr>
      <w:r>
        <w:t xml:space="preserve">Distance: 50 km (average, often accounted per package for simplicity in PCF)</w:t>
      </w:r>
    </w:p>
    <w:p>
      <w:pPr>
        <w:numPr>
          <w:ilvl w:val="1"/>
          <w:numId w:val="1009"/>
        </w:numPr>
        <w:pStyle w:val="Compact"/>
      </w:pPr>
      <w:r>
        <w:t xml:space="preserve">Emission Factor (simplified per package): 0.5 kg CO2e/package (approx.)</w:t>
      </w:r>
    </w:p>
    <w:p>
      <w:pPr>
        <w:numPr>
          <w:ilvl w:val="1"/>
          <w:numId w:val="1009"/>
        </w:numPr>
        <w:pStyle w:val="Compact"/>
      </w:pPr>
      <w:r>
        <w:t xml:space="preserve">Emissions = 0.50 kg CO2e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 (for mddqwdmqfw)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 Freight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Road Freight (Distribution)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Last-Mile Delivery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9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Subtotal Transportation &amp; Distribution: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0.62 kg CO2e</w:t>
            </w:r>
          </w:p>
        </w:tc>
        <w:tc>
          <w:tcPr/>
          <w:p>
            <w:pPr>
              <w:pStyle w:val="Compact"/>
            </w:pPr>
          </w:p>
        </w:tc>
      </w:tr>
    </w:tbl>
    <w:bookmarkEnd w:id="30"/>
    <w:bookmarkStart w:id="31" w:name="use-phase-emissions-scope-3---downstream"/>
    <w:p>
      <w:pPr>
        <w:pStyle w:val="Heading3"/>
      </w:pPr>
      <w:r>
        <w:t xml:space="preserve">3.3. Use Phase Emissions (Scope 3 - Downstream)</w:t>
      </w:r>
    </w:p>
    <w:p>
      <w:pPr>
        <w:pStyle w:val="FirstParagraph"/>
      </w:pPr>
      <w:r>
        <w:t xml:space="preserve">This covers the energy consumed during the product\'s operational life by the end-user.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20 kWh/year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Total Energy Consumption:</w:t>
      </w:r>
      <w:r>
        <w:t xml:space="preserve"> </w:t>
      </w:r>
      <w:r>
        <w:t xml:space="preserve">20 kWh/year * 5 years = 100 kWh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European Grid Electricity Emission Factor:</w:t>
      </w:r>
      <w:r>
        <w:t xml:space="preserve"> </w:t>
      </w:r>
      <w:r>
        <w:t xml:space="preserve">0.3 kg CO2e/kWh (average approx.)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Emissions from Use Phase:</w:t>
      </w:r>
      <w:r>
        <w:t xml:space="preserve"> </w:t>
      </w:r>
      <w:r>
        <w:t xml:space="preserve">100 kWh * 0.3 kg CO2e/kWh = 30.00 kg CO2e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 (for mddqwdmqfw)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Energy Consumption during 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11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Subtotal Use Phase: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30.00 kg CO2e</w:t>
            </w:r>
          </w:p>
        </w:tc>
        <w:tc>
          <w:tcPr/>
          <w:p>
            <w:pPr>
              <w:pStyle w:val="Compact"/>
            </w:pPr>
          </w:p>
        </w:tc>
      </w:tr>
    </w:tbl>
    <w:bookmarkEnd w:id="31"/>
    <w:bookmarkStart w:id="32" w:name="X4d957a4044b09fbe2ca075928e06d6e6806bd6d"/>
    <w:p>
      <w:pPr>
        <w:pStyle w:val="Heading3"/>
      </w:pPr>
      <w:r>
        <w:t xml:space="preserve">3.4. End-of-Life (EoL) Emissions &amp; Removals (Scope 3 - Downstream)</w:t>
      </w:r>
    </w:p>
    <w:p>
      <w:pPr>
        <w:pStyle w:val="FirstParagraph"/>
      </w:pPr>
      <w:r>
        <w:t xml:space="preserve">This phase accounts for the impact of product disposal and the benefits from recycling and circular programs,</w:t>
      </w:r>
      <w:r>
        <w:t xml:space="preserve"> </w:t>
      </w:r>
      <w:r>
        <w:t xml:space="preserve">applying principles from the 2026 LSR Update.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85%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Manufacturer-led take-back and refurbishment program.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Emissions from Disposal (non-recycled portion):</w:t>
      </w:r>
      <w:r>
        <w:t xml:space="preserve"> </w:t>
      </w:r>
      <w:r>
        <w:t xml:space="preserve">Assuming 15% of the product (0.075 kg) is landfilled/incinerated.</w:t>
      </w:r>
      <w:r>
        <w:t xml:space="preserve"> </w:t>
      </w:r>
      <w:r>
        <w:t xml:space="preserve">A simplified emission factor of 1.3 kg CO2e/kg for waste disposal (plastics/electronics) is used.</w:t>
      </w:r>
      <w:r>
        <w:t xml:space="preserve"> </w:t>
      </w:r>
      <w:r>
        <w:t xml:space="preserve">Emissions = 0.075 kg * 1.3 kg CO2e/kg = 0.10 kg CO2e.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Avoided Emissions from Recycling (LSR Removals/Credits):</w:t>
      </w:r>
      <w:r>
        <w:t xml:space="preserve"> </w:t>
      </w:r>
      <w:r>
        <w:t xml:space="preserve">Recycling avoids the need for virgin material production.</w:t>
      </w:r>
      <w:r>
        <w:t xml:space="preserve"> </w:t>
      </w:r>
      <w:r>
        <w:t xml:space="preserve">The avoided emissions are calculated by applying the recyclability percentage to the initial material emissions (excluding packaging).</w:t>
      </w:r>
    </w:p>
    <w:p>
      <w:pPr>
        <w:numPr>
          <w:ilvl w:val="1"/>
          <w:numId w:val="1012"/>
        </w:numPr>
        <w:pStyle w:val="Compact"/>
      </w:pPr>
      <w:r>
        <w:t xml:space="preserve">Total Material Carbon (excl. packaging): 7.19 kg CO2e - 0.08 kg CO2e (Cardboard) = 7.11 kg CO2e</w:t>
      </w:r>
    </w:p>
    <w:p>
      <w:pPr>
        <w:numPr>
          <w:ilvl w:val="1"/>
          <w:numId w:val="1012"/>
        </w:numPr>
        <w:pStyle w:val="Compact"/>
      </w:pPr>
      <w:r>
        <w:t xml:space="preserve">Avoided Emissions = 85% * 7.11 kg CO2e = 6.04 kg CO2e (as a credit/removal).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Net End-of-Life Emissions:</w:t>
      </w:r>
      <w:r>
        <w:t xml:space="preserve"> </w:t>
      </w:r>
      <w:r>
        <w:t xml:space="preserve">0.10 kg CO2e (disposal) - 6.04 kg CO2e (avoided) = -5.94 kg CO2e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 (for mddqwdmqfw)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Disposal of Non-Recycled Material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Avoided Emissions from Recycling (Credit)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-6.04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12 (LSR aligned)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Subtotal End-of-Life Phase: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-5.94 kg CO2e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32"/>
    <w:bookmarkEnd w:id="33"/>
    <w:bookmarkStart w:id="36" w:name="Xae86fdfdc2ea02fc5b29c9d43f4995ef49456af"/>
    <w:p>
      <w:pPr>
        <w:pStyle w:val="Heading2"/>
      </w:pPr>
      <w:r>
        <w:t xml:space="preserve">4. Overall Product Carbon Footprint &amp; GHG Scope Summary</w:t>
      </w:r>
    </w:p>
    <w:p>
      <w:pPr>
        <w:pStyle w:val="FirstParagraph"/>
      </w:pPr>
      <w:r>
        <w:t xml:space="preserve">The total Product Carbon Footprint for one functional unit of</w:t>
      </w:r>
      <w:r>
        <w:t xml:space="preserve"> </w:t>
      </w:r>
      <w:r>
        <w:rPr>
          <w:highlight w:val="yellow"/>
        </w:rPr>
        <w:t xml:space="preserve">gygwjnfeyw</w:t>
      </w:r>
      <w:r>
        <w:t xml:space="preserve"> </w:t>
      </w:r>
      <w:r>
        <w:t xml:space="preserve">is calculated</w:t>
      </w:r>
      <w:r>
        <w:t xml:space="preserve"> </w:t>
      </w:r>
      <w:r>
        <w:t xml:space="preserve">by summing the emissions from all lifecycle stages.</w:t>
      </w:r>
    </w:p>
    <w:bookmarkStart w:id="34" w:name="X7990d8ab6bba6ddb489e409f1c2d5e1209b1c3c"/>
    <w:p>
      <w:pPr>
        <w:pStyle w:val="Heading3"/>
      </w:pPr>
      <w:r>
        <w:t xml:space="preserve">Total Product Carbon Footprint (PCF) for gygwjnfeyw: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Transportation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Phase (Net)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-5.94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GRAND TOTAL PCF: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35.47 kg CO2e/unit</w:t>
            </w:r>
          </w:p>
        </w:tc>
      </w:tr>
    </w:tbl>
    <w:bookmarkEnd w:id="34"/>
    <w:bookmarkStart w:id="35" w:name="X537400616a6b363435d2e46d1d58cdb46281a39"/>
    <w:p>
      <w:pPr>
        <w:pStyle w:val="Heading3"/>
      </w:pPr>
      <w:r>
        <w:t xml:space="preserve">GHG Protocol Scope Breakdown for mddqwdmqfw: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Scope 1 Emissions:</w:t>
      </w:r>
      <w:r>
        <w:t xml:space="preserve"> </w:t>
      </w:r>
      <w:r>
        <w:t xml:space="preserve">0.00 kg CO2e (Direct emissions, not directly attributable to PCF, assumed to be negligible or covered by supplier\'s Scope 1, and thus Scope 3 for mddqwdmqfw).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Scope 2 Emissions:</w:t>
      </w:r>
      <w:r>
        <w:t xml:space="preserve"> </w:t>
      </w:r>
      <w:r>
        <w:t xml:space="preserve">0.00 kg CO2e (Purchased electricity, steam, heat, assumed to be covered by supplier\'s Scope 2, and thus Scope 3 for mddqwdmqfw).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Scope 3 Emissions:</w:t>
      </w:r>
      <w:r>
        <w:t xml:space="preserve"> </w:t>
      </w:r>
      <w:r>
        <w:t xml:space="preserve">35.47 kg CO2e (All value chain emissions, representing the full PCF for mddqwdmqfw, ensuring &gt;95% coverage as per 2026 requirements).</w:t>
      </w:r>
    </w:p>
    <w:p>
      <w:pPr>
        <w:numPr>
          <w:ilvl w:val="1"/>
          <w:numId w:val="1014"/>
        </w:numPr>
        <w:pStyle w:val="Compact"/>
      </w:pPr>
      <w:r>
        <w:t xml:space="preserve">Category 1 (Purchased goods and services): 7.19 kg CO2e (Materials)</w:t>
      </w:r>
    </w:p>
    <w:p>
      <w:pPr>
        <w:numPr>
          <w:ilvl w:val="1"/>
          <w:numId w:val="1014"/>
        </w:numPr>
        <w:pStyle w:val="Compact"/>
      </w:pPr>
      <w:r>
        <w:t xml:space="preserve">Category 3 (Fuel- and energy-related activities): 3.60 kg CO2e (Manufacturing Energy)</w:t>
      </w:r>
    </w:p>
    <w:p>
      <w:pPr>
        <w:numPr>
          <w:ilvl w:val="1"/>
          <w:numId w:val="1014"/>
        </w:numPr>
        <w:pStyle w:val="Compact"/>
      </w:pPr>
      <w:r>
        <w:t xml:space="preserve">Category 4 (Upstream transportation and distribution): 0.12 kg CO2e (Sea &amp; Road Freight)</w:t>
      </w:r>
    </w:p>
    <w:p>
      <w:pPr>
        <w:numPr>
          <w:ilvl w:val="1"/>
          <w:numId w:val="1014"/>
        </w:numPr>
        <w:pStyle w:val="Compact"/>
      </w:pPr>
      <w:r>
        <w:t xml:space="preserve">Category 9 (Downstream transportation and distribution): 0.50 kg CO2e (Last-Mile Delivery)</w:t>
      </w:r>
    </w:p>
    <w:p>
      <w:pPr>
        <w:numPr>
          <w:ilvl w:val="1"/>
          <w:numId w:val="1014"/>
        </w:numPr>
        <w:pStyle w:val="Compact"/>
      </w:pPr>
      <w:r>
        <w:t xml:space="preserve">Category 11 (Use of sold products): 30.00 kg CO2e</w:t>
      </w:r>
    </w:p>
    <w:p>
      <w:pPr>
        <w:numPr>
          <w:ilvl w:val="1"/>
          <w:numId w:val="1014"/>
        </w:numPr>
        <w:pStyle w:val="Compact"/>
      </w:pPr>
      <w:r>
        <w:t xml:space="preserve">Category 12 (End-of-life treatment of sold products): -5.94 kg CO2e (Net)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0" w:name="review-report"/>
    <w:p>
      <w:pPr>
        <w:pStyle w:val="Heading2"/>
      </w:pPr>
      <w:r>
        <w:t xml:space="preserve">5. Review &amp; Report</w:t>
      </w:r>
    </w:p>
    <w:bookmarkStart w:id="37" w:name="hotspot-analysis"/>
    <w:p>
      <w:pPr>
        <w:pStyle w:val="Heading3"/>
      </w:pPr>
      <w:r>
        <w:t xml:space="preserve">5.1. Hotspot Analysis</w:t>
      </w:r>
    </w:p>
    <w:p>
      <w:pPr>
        <w:pStyle w:val="FirstParagraph"/>
      </w:pPr>
      <w:r>
        <w:t xml:space="preserve">The analysis reveals that the most significant emission hotspots for</w:t>
      </w:r>
      <w:r>
        <w:t xml:space="preserve"> </w:t>
      </w:r>
      <w:r>
        <w:rPr>
          <w:highlight w:val="yellow"/>
        </w:rPr>
        <w:t xml:space="preserve">gygwjnfeyw</w:t>
      </w:r>
      <w:r>
        <w:t xml:space="preserve"> </w:t>
      </w:r>
      <w:r>
        <w:t xml:space="preserve">are: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 (30.00 kg CO2e):</w:t>
      </w:r>
      <w:r>
        <w:t xml:space="preserve"> </w:t>
      </w:r>
      <w:r>
        <w:t xml:space="preserve">This stage accounts for the largest portion of the product\'s footprint due to its electricity consumption over its 5-year lifespan.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Production Phase (10.79 kg CO2e):</w:t>
      </w:r>
      <w:r>
        <w:t xml:space="preserve"> </w:t>
      </w:r>
      <w:r>
        <w:t xml:space="preserve">Material acquisition, particularly electronics and metals, along with manufacturing energy, contribute substantially.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End-of-Life (Net -5.94 kg CO2e):</w:t>
      </w:r>
      <w:r>
        <w:t xml:space="preserve"> </w:t>
      </w:r>
      <w:r>
        <w:t xml:space="preserve">The strong recyclability and take-back program result in a net credit, significantly mitigating the overall footprint. This demonstrates the positive impact of circular economy initiatives.</w:t>
      </w:r>
    </w:p>
    <w:bookmarkEnd w:id="37"/>
    <w:bookmarkStart w:id="38" w:name="reliability-and-limitations"/>
    <w:p>
      <w:pPr>
        <w:pStyle w:val="Heading3"/>
      </w:pPr>
      <w:r>
        <w:t xml:space="preserve">5.2. Reliability and Limitations</w:t>
      </w:r>
    </w:p>
    <w:p>
      <w:pPr>
        <w:pStyle w:val="FirstParagraph"/>
      </w:pPr>
      <w:r>
        <w:t xml:space="preserve">The reliability of this PCF analysis is considered high, given the incorporation of specific company data for BOM,</w:t>
      </w:r>
      <w:r>
        <w:t xml:space="preserve"> </w:t>
      </w:r>
      <w:r>
        <w:t xml:space="preserve">energy usage, logistics, and EoL scenarios. However, inherent limitations exist: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Secondary Data Reliance:</w:t>
      </w:r>
      <w:r>
        <w:t xml:space="preserve"> </w:t>
      </w:r>
      <w:r>
        <w:t xml:space="preserve">While industry-standard, generic emission factors for certain processes or materials may not perfectly reflect actual supplier-specific impacts.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Assumptions:</w:t>
      </w:r>
      <w:r>
        <w:t xml:space="preserve"> </w:t>
      </w:r>
      <w:r>
        <w:t xml:space="preserve">Assumptions were made for transport distances, modes, and last-mile delivery mechanisms where specific detailed primary data was not available (e.g., specific carrier efficiency).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Dynamic Nature:</w:t>
      </w:r>
      <w:r>
        <w:t xml:space="preserve"> </w:t>
      </w:r>
      <w:r>
        <w:t xml:space="preserve">Emission factors and energy mixes change over time, and this report reflects current best available data.</w:t>
      </w:r>
    </w:p>
    <w:bookmarkEnd w:id="38"/>
    <w:bookmarkStart w:id="39" w:name="recommendations-for-improvement"/>
    <w:p>
      <w:pPr>
        <w:pStyle w:val="Heading3"/>
      </w:pPr>
      <w:r>
        <w:t xml:space="preserve">5.3. Recommendations for Improvement</w:t>
      </w:r>
    </w:p>
    <w:p>
      <w:pPr>
        <w:pStyle w:val="FirstParagraph"/>
      </w:pPr>
      <w:r>
        <w:t xml:space="preserve">Based on the identified hotspots,</w:t>
      </w:r>
      <w:r>
        <w:t xml:space="preserve"> </w:t>
      </w:r>
      <w:r>
        <w:rPr>
          <w:highlight w:val="yellow"/>
        </w:rPr>
        <w:t xml:space="preserve">mddqwdmqfw</w:t>
      </w:r>
      <w:r>
        <w:t xml:space="preserve"> </w:t>
      </w:r>
      <w:r>
        <w:t xml:space="preserve">could focus on the following to further reduce the PCF of</w:t>
      </w:r>
      <w:r>
        <w:t xml:space="preserve"> </w:t>
      </w:r>
      <w:r>
        <w:rPr>
          <w:highlight w:val="yellow"/>
        </w:rPr>
        <w:t xml:space="preserve">gygwjnfeyw</w:t>
      </w:r>
      <w:r>
        <w:t xml:space="preserve">: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Optimize Use Phase Efficiency:</w:t>
      </w:r>
      <w:r>
        <w:t xml:space="preserve"> </w:t>
      </w:r>
      <w:r>
        <w:t xml:space="preserve">Invest in R&amp;D to reduce the product\'s energy consumption during its operational life. Educating users on efficient usage can also contribute.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Enhance Production Sustainability:</w:t>
      </w:r>
      <w:r>
        <w:t xml:space="preserve"> </w:t>
      </w:r>
      <w:r>
        <w:t xml:space="preserve">Increase the percentage of renewable energy used in manufacturing operations (beyond the current 60%) and explore lower-carbon material alternatives or processes.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Strengthen Circularity:</w:t>
      </w:r>
      <w:r>
        <w:t xml:space="preserve"> </w:t>
      </w:r>
      <w:r>
        <w:t xml:space="preserve">Continue to invest in and promote the take-back and refurbishment programs, and explore opportunities to increase the recyclability percentage further or incorporate higher recycled content in new products.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Supplier Engagement:</w:t>
      </w:r>
      <w:r>
        <w:t xml:space="preserve"> </w:t>
      </w:r>
      <w:r>
        <w:t xml:space="preserve">Collaborate with upstream suppliers to identify opportunities for reducing emissions in raw material extraction and processing.</w:t>
      </w:r>
    </w:p>
    <w:bookmarkEnd w:id="39"/>
    <w:bookmarkEnd w:id="40"/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41" w:name="page-number"/>
      <w:bookmarkEnd w:id="41"/>
      <w:r>
        <w:t xml:space="preserve"> </w:t>
      </w:r>
      <w:r>
        <w:t xml:space="preserve">of</w:t>
      </w:r>
      <w:r>
        <w:t xml:space="preserve"> </w:t>
      </w:r>
      <w:bookmarkStart w:id="42" w:name="total-pages"/>
      <w:bookmarkEnd w:id="42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gygwjnfeyw</dc:title>
  <dc:creator/>
  <dc:description>Detailed Product Carbon Footprint (PCF) analysis report for product gygwjnfeyw by mddqwdmqfw, adhering to GHG Protocol and 2026 LSR Update.</dc:description>
  <dc:language>en</dc:language>
  <cp:keywords/>
  <dcterms:created xsi:type="dcterms:W3CDTF">2026-07-15T15:51:27Z</dcterms:created>
  <dcterms:modified xsi:type="dcterms:W3CDTF">2026-07-15T15:51:27Z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