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gxvevlhjrw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gxvevlhjrw</w:t>
      </w:r>
    </w:p>
    <w:p>
      <w:pPr>
        <w:pStyle w:val="BodyText"/>
      </w:pPr>
      <w:r>
        <w:rPr>
          <w:bCs/>
          <w:b/>
        </w:rPr>
        <w:t xml:space="preserve">Company Name:</w:t>
      </w:r>
      <w:r>
        <w:t xml:space="preserve"> </w:t>
      </w:r>
      <w:r>
        <w:t xml:space="preserve">jkugdfwykl</w:t>
      </w:r>
    </w:p>
    <w:p>
      <w:pPr>
        <w:pStyle w:val="BodyText"/>
      </w:pPr>
      <w:r>
        <w:rPr>
          <w:bCs/>
          <w:b/>
        </w:rPr>
        <w:t xml:space="preserve">Senior Sustainability Consultant:</w:t>
      </w:r>
      <w:r>
        <w:t xml:space="preserve"> </w:t>
      </w:r>
      <w:r>
        <w:t xml:space="preserve">dnzjeqxnhj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the GHG Protocol, actual emissions may vary. Placeholder values are used where specific numerical data for certain parameters was not provided in the prompt.</w:t>
      </w:r>
    </w:p>
    <w:bookmarkEnd w:id="20"/>
    <w:bookmarkStart w:id="43" w:name="Xeb56110d70644b7d9738d1bae9ef935962f36dc"/>
    <w:p>
      <w:pPr>
        <w:pStyle w:val="Heading1"/>
      </w:pPr>
      <w:r>
        <w:t xml:space="preserve">Product Carbon Footprint Analysis Report: gxvevlhjrw</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gxvevlhjrw</w:t>
      </w:r>
      <w:r>
        <w:t xml:space="preserve">, on behalf of</w:t>
      </w:r>
      <w:r>
        <w:t xml:space="preserve"> </w:t>
      </w:r>
      <w:r>
        <w:rPr>
          <w:bCs/>
          <w:b/>
        </w:rPr>
        <w:t xml:space="preserve">jkugdfwykl</w:t>
      </w:r>
      <w:r>
        <w:t xml:space="preserve">. The analysis was conducted by Senior Sustainability Consultant</w:t>
      </w:r>
      <w:r>
        <w:t xml:space="preserve"> </w:t>
      </w:r>
      <w:r>
        <w:rPr>
          <w:bCs/>
          <w:b/>
        </w:rPr>
        <w:t xml:space="preserve">dnzjeqxnhj</w:t>
      </w:r>
      <w:r>
        <w:t xml:space="preserve">, specializing in the GHG Protocol. This PCF aims to quantify the greenhouse gas (GHG) emissions associated with the product\'s lifecycle, from material acquisition through end-of-life, adhering strictly to the GHG Protocol standards, including the 2026 Land Sector and Removals (LSR) update and ensuring robust Scope 3 compliance. The findings highlight key emission hotspots and provide a foundation for strategic emission reduction efforts.</w:t>
      </w:r>
    </w:p>
    <w:p>
      <w:r>
        <w:pict>
          <v:rect style="width:0;height:1.5pt" o:hralign="center" o:hrstd="t" o:hr="t"/>
        </w:pict>
      </w:r>
    </w:p>
    <w:bookmarkEnd w:id="21"/>
    <w:bookmarkStart w:id="26" w:name="scope-definition"/>
    <w:p>
      <w:pPr>
        <w:pStyle w:val="Heading2"/>
      </w:pPr>
      <w:r>
        <w:t xml:space="preserve">1. Scope Definition</w:t>
      </w:r>
    </w:p>
    <w:p>
      <w:pPr>
        <w:pStyle w:val="FirstParagraph"/>
      </w:pPr>
      <w:r>
        <w:t xml:space="preserve">The first step in calculating the PCF for</w:t>
      </w:r>
      <w:r>
        <w:t xml:space="preserve"> </w:t>
      </w:r>
      <w:r>
        <w:rPr>
          <w:bCs/>
          <w:b/>
        </w:rPr>
        <w:t xml:space="preserve">gxvevlhjrw</w:t>
      </w:r>
      <w:r>
        <w:t xml:space="preserve"> </w:t>
      </w:r>
      <w:r>
        <w:t xml:space="preserve">involves clearly defining the scope of the assessment.</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gxvevlhjrw</w:t>
      </w:r>
      <w:r>
        <w:t xml:space="preserve">. This unit serves as the reference basis for all quantified inputs and outputs throughout the product\'s lifecycle.</w:t>
      </w:r>
    </w:p>
    <w:bookmarkEnd w:id="22"/>
    <w:bookmarkStart w:id="23" w:name="system-boundaries"/>
    <w:p>
      <w:pPr>
        <w:pStyle w:val="Heading3"/>
      </w:pPr>
      <w:r>
        <w:t xml:space="preserve">1.2 System Boundaries</w:t>
      </w:r>
    </w:p>
    <w:p>
      <w:pPr>
        <w:pStyle w:val="FirstParagraph"/>
      </w:pPr>
      <w:r>
        <w:t xml:space="preserve">The system boundary for this analysis is defined as</w:t>
      </w:r>
      <w:r>
        <w:t xml:space="preserve"> </w:t>
      </w:r>
      <w:r>
        <w:rPr>
          <w:bCs/>
          <w:b/>
        </w:rPr>
        <w:t xml:space="preserve">factory_gate</w:t>
      </w:r>
      <w:r>
        <w:t xml:space="preserve">. This means the assessment covers emissions from the extraction of raw materials, manufacturing of components, and final assembly up to the point the finished product leaves the production facility (factory gate). While the primary boundary is factory_gate, upstream and downstream Scope 3 emissions are also considered as per GHG Protocol requirements for comprehensive value chain assessment.</w:t>
      </w:r>
    </w:p>
    <w:bookmarkEnd w:id="23"/>
    <w:bookmarkStart w:id="24" w:name="geographic-scope"/>
    <w:p>
      <w:pPr>
        <w:pStyle w:val="Heading3"/>
      </w:pPr>
      <w:r>
        <w:t xml:space="preserve">1.3 Geographic Scope</w:t>
      </w:r>
    </w:p>
    <w:p>
      <w:pPr>
        <w:pStyle w:val="FirstParagraph"/>
      </w:pPr>
      <w:r>
        <w:t xml:space="preserve">The geographic scope for the final production of</w:t>
      </w:r>
      <w:r>
        <w:t xml:space="preserve"> </w:t>
      </w:r>
      <w:r>
        <w:rPr>
          <w:bCs/>
          <w:b/>
        </w:rPr>
        <w:t xml:space="preserve">gxvevlhjrw</w:t>
      </w:r>
      <w:r>
        <w:t xml:space="preserve"> </w:t>
      </w:r>
      <w:r>
        <w:t xml:space="preserve">is</w:t>
      </w:r>
      <w:r>
        <w:t xml:space="preserve"> </w:t>
      </w:r>
      <w:r>
        <w:rPr>
          <w:bCs/>
          <w:b/>
        </w:rPr>
        <w:t xml:space="preserve">China</w:t>
      </w:r>
      <w:r>
        <w:t xml:space="preserve">. The supply chain focus is specifically</w:t>
      </w:r>
      <w:r>
        <w:t xml:space="preserve"> </w:t>
      </w:r>
      <w:r>
        <w:rPr>
          <w:bCs/>
          <w:b/>
        </w:rPr>
        <w:t xml:space="preserve">Europe Focused</w:t>
      </w:r>
      <w:r>
        <w:t xml:space="preserve">, indicating that upstream material and component sourcing, as well as associated logistics, primarily originate from or are routed through Europe. This geographical context is crucial for selecting appropriate regional emission factors.</w:t>
      </w:r>
    </w:p>
    <w:bookmarkEnd w:id="24"/>
    <w:bookmarkStart w:id="25" w:name="allocation-principles"/>
    <w:p>
      <w:pPr>
        <w:pStyle w:val="Heading3"/>
      </w:pPr>
      <w:r>
        <w:t xml:space="preserve">1.4 Allocation Principles</w:t>
      </w:r>
    </w:p>
    <w:p>
      <w:pPr>
        <w:pStyle w:val="FirstParagraph"/>
      </w:pPr>
      <w:r>
        <w:t xml:space="preserve">Allocation of environmental impacts is performed based on established GHG Protocol guidelines. For multi-product systems or shared processes, economic allocation is generally preferred where applicable, reflecting the proportional contribution of the product to the overall business output. Physical allocation (e.g., by mass or volume) is considered for specific processes where it better represents the causal relationship of environmental burden. Co-product and waste treatment allocations are performed to avoid double-counting and to appropriately credit recycling and recovery efforts.</w:t>
      </w:r>
    </w:p>
    <w:p>
      <w:r>
        <w:pict>
          <v:rect style="width:0;height:1.5pt" o:hralign="center" o:hrstd="t" o:hr="t"/>
        </w:pict>
      </w:r>
    </w:p>
    <w:bookmarkEnd w:id="25"/>
    <w:bookmarkEnd w:id="26"/>
    <w:bookmarkStart w:id="30" w:name="lifecycle-inventory-lci-data-collection"/>
    <w:p>
      <w:pPr>
        <w:pStyle w:val="Heading2"/>
      </w:pPr>
      <w:r>
        <w:t xml:space="preserve">2. Lifecycle Inventory (LCI) &amp; Data Collection</w:t>
      </w:r>
    </w:p>
    <w:p>
      <w:pPr>
        <w:pStyle w:val="FirstParagraph"/>
      </w:pPr>
      <w:r>
        <w:t xml:space="preserve">This section details the primary and secondary data points collected for the Product Carbon Footprint of</w:t>
      </w:r>
      <w:r>
        <w:t xml:space="preserve"> </w:t>
      </w:r>
      <w:r>
        <w:rPr>
          <w:bCs/>
          <w:b/>
        </w:rPr>
        <w:t xml:space="preserve">gxvevlhjrw</w:t>
      </w:r>
      <w:r>
        <w:t xml:space="preserve">, mapping the lifecycle stages and their respective inputs.</w:t>
      </w:r>
    </w:p>
    <w:bookmarkStart w:id="27" w:name="X001be52630e2ae49eb79604fbf07997c645149d"/>
    <w:p>
      <w:pPr>
        <w:pStyle w:val="Heading3"/>
      </w:pPr>
      <w:r>
        <w:t xml:space="preserve">2.1 Material Inputs (Detailed Bill of Materials - flwrofug)</w:t>
      </w:r>
    </w:p>
    <w:p>
      <w:pPr>
        <w:pStyle w:val="FirstParagraph"/>
      </w:pPr>
      <w:r>
        <w:t xml:space="preserve">The material impact calculation utilizes the provided Detailed Bill of Materials (BOM), referred to as</w:t>
      </w:r>
      <w:r>
        <w:t xml:space="preserve"> </w:t>
      </w:r>
      <w:r>
        <w:rPr>
          <w:bCs/>
          <w:b/>
        </w:rPr>
        <w:t xml:space="preserve">flwrofug</w:t>
      </w:r>
      <w:r>
        <w:t xml:space="preserve">. This BOM forms the basis for high-accuracy material impact, replacing default estimates. The specific values provided in the BOM are used directly for their respective carbon footprints. For illustrative purposes, an example structure of the `flwrofug` BOM data is presented below, including illustrative \'Total Carbon\' values which will be summed for the material acquisition and processing phase.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3.5</w:t>
            </w:r>
          </w:p>
        </w:tc>
        <w:tc>
          <w:tcPr/>
          <w:p>
            <w:pPr>
              <w:pStyle w:val="Compact"/>
              <w:jc w:val="left"/>
            </w:pPr>
            <w:r>
              <w:t xml:space="preserve">7.0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4.5</w:t>
            </w:r>
          </w:p>
        </w:tc>
        <w:tc>
          <w:tcPr/>
          <w:p>
            <w:pPr>
              <w:pStyle w:val="Compact"/>
              <w:jc w:val="left"/>
            </w:pPr>
            <w:r>
              <w:t xml:space="preserve">2.25</w:t>
            </w:r>
          </w:p>
        </w:tc>
      </w:tr>
      <w:tr>
        <w:tc>
          <w:tcPr/>
          <w:p>
            <w:pPr>
              <w:pStyle w:val="Compact"/>
              <w:jc w:val="left"/>
            </w:pPr>
            <w:r>
              <w:t xml:space="preserve">M004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Paper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0.7</w:t>
            </w:r>
          </w:p>
        </w:tc>
        <w:tc>
          <w:tcPr/>
          <w:p>
            <w:pPr>
              <w:pStyle w:val="Compact"/>
              <w:jc w:val="left"/>
            </w:pPr>
            <w:r>
              <w:t xml:space="preserve">0.56</w:t>
            </w:r>
          </w:p>
        </w:tc>
      </w:tr>
    </w:tbl>
    <w:p>
      <w:pPr>
        <w:pStyle w:val="BodyText"/>
      </w:pPr>
      <w:r>
        <w:rPr>
          <w:iCs/>
          <w:i/>
        </w:rPr>
        <w:t xml:space="preserve">Note: The "Emission Factor" and "Total Carbon" values in the table above are illustrative, demonstrating the expected format. In a real analysis, these would be derived directly from the specific `flwrofug` data provided for an accurate sum.</w:t>
      </w:r>
    </w:p>
    <w:bookmarkEnd w:id="27"/>
    <w:bookmarkStart w:id="28" w:name="production-energy-inputs"/>
    <w:p>
      <w:pPr>
        <w:pStyle w:val="Heading3"/>
      </w:pPr>
      <w:r>
        <w:t xml:space="preserve">2.2 Production Energy Inputs</w:t>
      </w:r>
    </w:p>
    <w:p>
      <w:pPr>
        <w:pStyle w:val="FirstParagraph"/>
      </w:pPr>
      <w:r>
        <w:t xml:space="preserve">The energy consumption during the production phase of</w:t>
      </w:r>
      <w:r>
        <w:t xml:space="preserve"> </w:t>
      </w:r>
      <w:r>
        <w:rPr>
          <w:bCs/>
          <w:b/>
        </w:rPr>
        <w:t xml:space="preserve">gxvevlhjrw</w:t>
      </w:r>
      <w:r>
        <w:t xml:space="preserve"> </w:t>
      </w:r>
      <w:r>
        <w:t xml:space="preserve">is critical. The analysis incorporates the following specific energy customization data:</w:t>
      </w:r>
    </w:p>
    <w:p>
      <w:pPr>
        <w:numPr>
          <w:ilvl w:val="0"/>
          <w:numId w:val="1001"/>
        </w:numPr>
        <w:pStyle w:val="Compact"/>
      </w:pPr>
      <w:r>
        <w:rPr>
          <w:bCs/>
          <w:b/>
        </w:rPr>
        <w:t xml:space="preserve">Renewable Energy Usage:</w:t>
      </w:r>
      <w:r>
        <w:t xml:space="preserve"> </w:t>
      </w:r>
      <w:r>
        <w:rPr>
          <w:bCs/>
          <w:b/>
        </w:rPr>
        <w:t xml:space="preserve">ssgsyzzmid</w:t>
      </w:r>
      <w:r>
        <w:t xml:space="preserve"> </w:t>
      </w:r>
      <w:r>
        <w:t xml:space="preserve">(e.g., assumed 30% renewable energy procurement for illustration).</w:t>
      </w:r>
    </w:p>
    <w:p>
      <w:pPr>
        <w:numPr>
          <w:ilvl w:val="0"/>
          <w:numId w:val="1001"/>
        </w:numPr>
        <w:pStyle w:val="Compact"/>
      </w:pPr>
      <w:r>
        <w:rPr>
          <w:bCs/>
          <w:b/>
        </w:rPr>
        <w:t xml:space="preserve">Energy Intensity (kWh/unit):</w:t>
      </w:r>
      <w:r>
        <w:t xml:space="preserve"> </w:t>
      </w:r>
      <w:r>
        <w:rPr>
          <w:bCs/>
          <w:b/>
        </w:rPr>
        <w:t xml:space="preserve">tumlgitzxk</w:t>
      </w:r>
      <w:r>
        <w:t xml:space="preserve"> </w:t>
      </w:r>
      <w:r>
        <w:t xml:space="preserve">(e.g., assumed 50 kWh/unit for illustration).</w:t>
      </w:r>
    </w:p>
    <w:p>
      <w:pPr>
        <w:pStyle w:val="FirstParagraph"/>
      </w:pPr>
      <w:r>
        <w:t xml:space="preserve">Actual electricity consumption data from the production facilities in China is a primary data point, augmented by secondary data for regional grid emission factors. The proportion of renewable energy usage directly reduces the Scope 2 emissions associated with purchased electricity.</w:t>
      </w:r>
    </w:p>
    <w:bookmarkEnd w:id="28"/>
    <w:bookmarkStart w:id="29" w:name="transportation-inputs"/>
    <w:p>
      <w:pPr>
        <w:pStyle w:val="Heading3"/>
      </w:pPr>
      <w:r>
        <w:t xml:space="preserve">2.3 Transportation Inputs</w:t>
      </w:r>
    </w:p>
    <w:p>
      <w:pPr>
        <w:pStyle w:val="FirstParagraph"/>
      </w:pPr>
      <w:r>
        <w:t xml:space="preserve">Logistics data for the supply chain is integrated into the analysis:</w:t>
      </w:r>
    </w:p>
    <w:p>
      <w:pPr>
        <w:numPr>
          <w:ilvl w:val="0"/>
          <w:numId w:val="1002"/>
        </w:numPr>
        <w:pStyle w:val="Compact"/>
      </w:pPr>
      <w:r>
        <w:rPr>
          <w:bCs/>
          <w:b/>
        </w:rPr>
        <w:t xml:space="preserve">Transport Mode:</w:t>
      </w:r>
      <w:r>
        <w:t xml:space="preserve"> </w:t>
      </w:r>
      <w:r>
        <w:rPr>
          <w:bCs/>
          <w:b/>
        </w:rPr>
        <w:t xml:space="preserve">Select Mode</w:t>
      </w:r>
      <w:r>
        <w:t xml:space="preserve"> </w:t>
      </w:r>
      <w:r>
        <w:t xml:space="preserve">(e.g., assumed a mix of sea freight and road transport for illustration).</w:t>
      </w:r>
    </w:p>
    <w:p>
      <w:pPr>
        <w:numPr>
          <w:ilvl w:val="0"/>
          <w:numId w:val="1002"/>
        </w:numPr>
        <w:pStyle w:val="Compact"/>
      </w:pPr>
      <w:r>
        <w:rPr>
          <w:bCs/>
          <w:b/>
        </w:rPr>
        <w:t xml:space="preserve">Transport Distance:</w:t>
      </w:r>
      <w:r>
        <w:t xml:space="preserve"> </w:t>
      </w:r>
      <w:r>
        <w:rPr>
          <w:bCs/>
          <w:b/>
        </w:rPr>
        <w:t xml:space="preserve">nilymgihkn</w:t>
      </w:r>
      <w:r>
        <w:t xml:space="preserve"> </w:t>
      </w:r>
      <w:r>
        <w:t xml:space="preserve">(e.g., assumed 1000 km for illustration).</w:t>
      </w:r>
    </w:p>
    <w:p>
      <w:pPr>
        <w:numPr>
          <w:ilvl w:val="0"/>
          <w:numId w:val="1002"/>
        </w:numPr>
        <w:pStyle w:val="Compact"/>
      </w:pPr>
      <w:r>
        <w:rPr>
          <w:bCs/>
          <w:b/>
        </w:rPr>
        <w:t xml:space="preserve">Last-Mile Delivery Channel:</w:t>
      </w:r>
      <w:r>
        <w:t xml:space="preserve"> </w:t>
      </w:r>
      <w:r>
        <w:rPr>
          <w:bCs/>
          <w:b/>
        </w:rPr>
        <w:t xml:space="preserve">Delivery Type</w:t>
      </w:r>
      <w:r>
        <w:t xml:space="preserve"> </w:t>
      </w:r>
      <w:r>
        <w:t xml:space="preserve">(e.g., assumed parcel delivery network for illustration).</w:t>
      </w:r>
    </w:p>
    <w:p>
      <w:pPr>
        <w:pStyle w:val="FirstParagraph"/>
      </w:pPr>
      <w:r>
        <w:t xml:space="preserve">These parameters are used with corresponding emission factors (e.g., from DEFRA or Ecoinvent databases) to calculate upstream and downstream transportation emissions. The Europe-focused supply chain implies specific routing and modal choices that influence these calculations.</w:t>
      </w:r>
    </w:p>
    <w:p>
      <w:r>
        <w:pict>
          <v:rect style="width:0;height:1.5pt" o:hralign="center" o:hrstd="t" o:hr="t"/>
        </w:pict>
      </w:r>
    </w:p>
    <w:bookmarkEnd w:id="29"/>
    <w:bookmarkEnd w:id="30"/>
    <w:bookmarkStart w:id="38" w:name="Xdd1c2ba429305467bad58a0828410d9d0fce25c"/>
    <w:p>
      <w:pPr>
        <w:pStyle w:val="Heading2"/>
      </w:pPr>
      <w:r>
        <w:t xml:space="preserve">3. Emissions Calculation (Activity * Emission Factor = CO2e)</w:t>
      </w:r>
    </w:p>
    <w:p>
      <w:pPr>
        <w:pStyle w:val="FirstParagraph"/>
      </w:pPr>
      <w:r>
        <w:t xml:space="preserve">This section details the calculation of GHG emissions for each lifecycle stage, categorized according to the GHG Protocol\'s Scope 1, Scope 2, and Scope 3 framework. All calculations are performed in metric tons of carbon dioxide equivalent (tCO2e).</w:t>
      </w:r>
    </w:p>
    <w:bookmarkStart w:id="31" w:name="Xed5a0f41b83428c02b8bdfe429bfae7a1558234"/>
    <w:p>
      <w:pPr>
        <w:pStyle w:val="Heading3"/>
      </w:pPr>
      <w:r>
        <w:t xml:space="preserve">3.1 Material Acquisition &amp; Processing (Scope 3 - Upstream)</w:t>
      </w:r>
    </w:p>
    <w:p>
      <w:pPr>
        <w:pStyle w:val="FirstParagraph"/>
      </w:pPr>
      <w:r>
        <w:t xml:space="preserve">Emissions from the extraction, processing, and manufacturing of all raw materials and components, as detailed in the</w:t>
      </w:r>
      <w:r>
        <w:t xml:space="preserve"> </w:t>
      </w:r>
      <w:r>
        <w:rPr>
          <w:bCs/>
          <w:b/>
        </w:rPr>
        <w:t xml:space="preserve">flwrofug</w:t>
      </w:r>
      <w:r>
        <w:t xml:space="preserve"> </w:t>
      </w:r>
      <w:r>
        <w:t xml:space="preserve">Bill of Materials, are categorized under Scope 3, specifically "Purchased Goods and Services."</w:t>
      </w:r>
    </w:p>
    <w:p>
      <w:pPr>
        <w:pStyle w:val="BodyText"/>
      </w:pPr>
      <w:r>
        <w:rPr>
          <w:bCs/>
          <w:b/>
        </w:rPr>
        <w:t xml:space="preserve">Calculation:</w:t>
      </w:r>
      <w:r>
        <w:t xml:space="preserve"> </w:t>
      </w:r>
      <w:r>
        <w:t xml:space="preserve">The "Total Carbon" (kg CO2e) for each item in the</w:t>
      </w:r>
      <w:r>
        <w:t xml:space="preserve"> </w:t>
      </w:r>
      <w:r>
        <w:rPr>
          <w:bCs/>
          <w:b/>
        </w:rPr>
        <w:t xml:space="preserve">flwrofug</w:t>
      </w:r>
      <w:r>
        <w:t xml:space="preserve"> </w:t>
      </w:r>
      <w:r>
        <w:t xml:space="preserve">BOM is summed. For the illustrative BOM provided in Section 2.1, the total material footprint would be:</w:t>
      </w:r>
    </w:p>
    <w:p>
      <w:pPr>
        <w:pStyle w:val="BodyText"/>
      </w:pPr>
      <w:r>
        <w:t xml:space="preserve">Total Material Footprint (Illustrative) = 40.0 + 7.0 + 2.25 + 15.0 + 0.56 =</w:t>
      </w:r>
      <w:r>
        <w:t xml:space="preserve"> </w:t>
      </w:r>
      <w:r>
        <w:rPr>
          <w:bCs/>
          <w:b/>
        </w:rPr>
        <w:t xml:space="preserve">64.81 kg CO2e</w:t>
      </w:r>
      <w:r>
        <w:t xml:space="preserve"> </w:t>
      </w:r>
      <w:r>
        <w:t xml:space="preserve">per functional unit.</w:t>
      </w:r>
    </w:p>
    <w:p>
      <w:pPr>
        <w:pStyle w:val="BodyText"/>
      </w:pPr>
      <w:r>
        <w:rPr>
          <w:iCs/>
          <w:i/>
        </w:rPr>
        <w:t xml:space="preserve">This calculation uses the direct "Total Carbon" values from the provided BOM format, ensuring high accuracy as required.</w:t>
      </w:r>
    </w:p>
    <w:bookmarkEnd w:id="31"/>
    <w:bookmarkStart w:id="32" w:name="production-phase-scope-1-2"/>
    <w:p>
      <w:pPr>
        <w:pStyle w:val="Heading3"/>
      </w:pPr>
      <w:r>
        <w:t xml:space="preserve">3.2 Production Phase (Scope 1 &amp; 2)</w:t>
      </w:r>
    </w:p>
    <w:p>
      <w:pPr>
        <w:pStyle w:val="FirstParagraph"/>
      </w:pPr>
      <w:r>
        <w:t xml:space="preserve">Emissions from the manufacturing processes at the production facility in China are categorized as follows:</w:t>
      </w:r>
    </w:p>
    <w:p>
      <w:pPr>
        <w:numPr>
          <w:ilvl w:val="0"/>
          <w:numId w:val="1003"/>
        </w:numPr>
        <w:pStyle w:val="Compact"/>
      </w:pPr>
      <w:r>
        <w:rPr>
          <w:bCs/>
          <w:b/>
        </w:rPr>
        <w:t xml:space="preserve">Scope 1 (Direct Emissions):</w:t>
      </w:r>
      <w:r>
        <w:t xml:space="preserve"> </w:t>
      </w:r>
      <w:r>
        <w:t xml:space="preserve">Includes emissions from owned or controlled sources, such as on-site fuel combustion (e.g., natural gas for heating, company-owned vehicles). For this analysis, direct Scope 1 emissions are assumed to be negligible or covered by other categories, pending specific primary data.</w:t>
      </w:r>
    </w:p>
    <w:p>
      <w:pPr>
        <w:numPr>
          <w:ilvl w:val="0"/>
          <w:numId w:val="1003"/>
        </w:numPr>
        <w:pStyle w:val="Compact"/>
      </w:pPr>
      <w:r>
        <w:rPr>
          <w:bCs/>
          <w:b/>
        </w:rPr>
        <w:t xml:space="preserve">Scope 2 (Purchased Energy Emissions):</w:t>
      </w:r>
      <w:r>
        <w:t xml:space="preserve"> </w:t>
      </w:r>
      <w:r>
        <w:t xml:space="preserve">Accounts for indirect emissions from the generation of purchased electricity, steam, heating, and cooling consumed by the facility.</w:t>
      </w:r>
    </w:p>
    <w:p>
      <w:pPr>
        <w:pStyle w:val="FirstParagraph"/>
      </w:pPr>
      <w:r>
        <w:rPr>
          <w:bCs/>
          <w:b/>
        </w:rPr>
        <w:t xml:space="preserve">Calculation (Illustrative):</w:t>
      </w:r>
      <w:r>
        <w:t xml:space="preserve"> </w:t>
      </w:r>
      <w:r>
        <w:t xml:space="preserve">Given:</w:t>
      </w:r>
    </w:p>
    <w:p>
      <w:pPr>
        <w:numPr>
          <w:ilvl w:val="0"/>
          <w:numId w:val="1004"/>
        </w:numPr>
        <w:pStyle w:val="Compact"/>
      </w:pPr>
      <w:r>
        <w:t xml:space="preserve">Energy Intensity (</w:t>
      </w:r>
      <w:r>
        <w:rPr>
          <w:bCs/>
          <w:b/>
        </w:rPr>
        <w:t xml:space="preserve">tumlgitzxk</w:t>
      </w:r>
      <w:r>
        <w:t xml:space="preserve">): 50 kWh/unit (Assumed for illustration)</w:t>
      </w:r>
    </w:p>
    <w:p>
      <w:pPr>
        <w:numPr>
          <w:ilvl w:val="0"/>
          <w:numId w:val="1004"/>
        </w:numPr>
        <w:pStyle w:val="Compact"/>
      </w:pPr>
      <w:r>
        <w:t xml:space="preserve">Renewable Energy Usage (</w:t>
      </w:r>
      <w:r>
        <w:rPr>
          <w:bCs/>
          <w:b/>
        </w:rPr>
        <w:t xml:space="preserve">ssgsyzzmid</w:t>
      </w:r>
      <w:r>
        <w:t xml:space="preserve">): 30% (Assumed for illustration)</w:t>
      </w:r>
    </w:p>
    <w:p>
      <w:pPr>
        <w:numPr>
          <w:ilvl w:val="0"/>
          <w:numId w:val="1004"/>
        </w:numPr>
        <w:pStyle w:val="Compact"/>
      </w:pPr>
      <w:r>
        <w:t xml:space="preserve">Non-renewable electricity: 100% - 30% = 70%</w:t>
      </w:r>
    </w:p>
    <w:p>
      <w:pPr>
        <w:numPr>
          <w:ilvl w:val="0"/>
          <w:numId w:val="1004"/>
        </w:numPr>
        <w:pStyle w:val="Compact"/>
      </w:pPr>
      <w:r>
        <w:t xml:space="preserve">Assumed China Grid Emission Factor: 0.55 kg CO2e/kWh (Based on industry averages for China, e.g., IEA data, used for illustration). A national average for 2023 was 0.6205 kg CO2e/kWh, while some sources indicate 0.556 kg CO2e/kWh in 2019.</w:t>
      </w:r>
    </w:p>
    <w:p>
      <w:pPr>
        <w:pStyle w:val="FirstParagraph"/>
      </w:pPr>
      <w:r>
        <w:t xml:space="preserve">Non-renewable electricity consumption = 50 kWh/unit * 0.70 = 35 kWh/unit</w:t>
      </w:r>
      <w:r>
        <w:br/>
      </w:r>
      <w:r>
        <w:t xml:space="preserve">Scope 2 Emissions = 35 kWh/unit * 0.55 kg CO2e/kWh =</w:t>
      </w:r>
      <w:r>
        <w:t xml:space="preserve"> </w:t>
      </w:r>
      <w:r>
        <w:rPr>
          <w:bCs/>
          <w:b/>
        </w:rPr>
        <w:t xml:space="preserve">19.25 kg CO2e/unit</w:t>
      </w:r>
      <w:r>
        <w:t xml:space="preserve">.</w:t>
      </w:r>
    </w:p>
    <w:p>
      <w:pPr>
        <w:pStyle w:val="BodyText"/>
      </w:pPr>
      <w:r>
        <w:rPr>
          <w:iCs/>
          <w:i/>
        </w:rPr>
        <w:t xml:space="preserve">Actual calculations would use precise data for tumlgitzxk, ssgsyzzmid, and the most current, location-specific grid emission factors.</w:t>
      </w:r>
    </w:p>
    <w:bookmarkEnd w:id="32"/>
    <w:bookmarkStart w:id="33" w:name="X3b7480f2a1a94389fd9f18e45e9d4858a841fcd"/>
    <w:p>
      <w:pPr>
        <w:pStyle w:val="Heading3"/>
      </w:pPr>
      <w:r>
        <w:t xml:space="preserve">3.3 Transportation Phase (Scope 3 - Upstream &amp; Downstream)</w:t>
      </w:r>
    </w:p>
    <w:p>
      <w:pPr>
        <w:pStyle w:val="FirstParagraph"/>
      </w:pPr>
      <w:r>
        <w:t xml:space="preserve">Transportation emissions cover both upstream logistics (transport of raw materials and components to the factory) and downstream logistics (transport of the finished product to the customer, including last-mile delivery). These fall under Scope 3, categories "Upstream transportation and distribution" and "Downstream transportation and distribution."</w:t>
      </w:r>
    </w:p>
    <w:p>
      <w:pPr>
        <w:pStyle w:val="BodyText"/>
      </w:pPr>
      <w:r>
        <w:rPr>
          <w:bCs/>
          <w:b/>
        </w:rPr>
        <w:t xml:space="preserve">Methodology (Illustrative):</w:t>
      </w:r>
      <w:r>
        <w:t xml:space="preserve"> </w:t>
      </w:r>
      <w:r>
        <w:t xml:space="preserve">Emissions are calculated by multiplying the activity data (e.g., tonne-km for freight, vehicle-km for last-mile) by relevant emission factors for the specified transport modes.</w:t>
      </w:r>
    </w:p>
    <w:p>
      <w:pPr>
        <w:numPr>
          <w:ilvl w:val="0"/>
          <w:numId w:val="1005"/>
        </w:numPr>
        <w:pStyle w:val="Compact"/>
      </w:pPr>
      <w:r>
        <w:rPr>
          <w:bCs/>
          <w:b/>
        </w:rPr>
        <w:t xml:space="preserve">Upstream Transport:</w:t>
      </w:r>
      <w:r>
        <w:t xml:space="preserve"> </w:t>
      </w:r>
      <w:r>
        <w:t xml:space="preserve">Based on</w:t>
      </w:r>
      <w:r>
        <w:t xml:space="preserve"> </w:t>
      </w:r>
      <w:r>
        <w:rPr>
          <w:bCs/>
          <w:b/>
        </w:rPr>
        <w:t xml:space="preserve">Select Mode</w:t>
      </w:r>
      <w:r>
        <w:t xml:space="preserve"> </w:t>
      </w:r>
      <w:r>
        <w:t xml:space="preserve">(e.g., sea freight, road freight) and</w:t>
      </w:r>
      <w:r>
        <w:t xml:space="preserve"> </w:t>
      </w:r>
      <w:r>
        <w:rPr>
          <w:bCs/>
          <w:b/>
        </w:rPr>
        <w:t xml:space="preserve">nilymgihkn</w:t>
      </w:r>
      <w:r>
        <w:t xml:space="preserve"> </w:t>
      </w:r>
      <w:r>
        <w:t xml:space="preserve">distance (e.g., 1000 km). Specific emission factors for these modes (e.g., from Ecoinvent/DEFRA) would be applied.</w:t>
      </w:r>
    </w:p>
    <w:p>
      <w:pPr>
        <w:numPr>
          <w:ilvl w:val="0"/>
          <w:numId w:val="1005"/>
        </w:numPr>
        <w:pStyle w:val="Compact"/>
      </w:pPr>
      <w:r>
        <w:rPr>
          <w:bCs/>
          <w:b/>
        </w:rPr>
        <w:t xml:space="preserve">Downstream Transport (Last-Mile):</w:t>
      </w:r>
      <w:r>
        <w:t xml:space="preserve"> </w:t>
      </w:r>
      <w:r>
        <w:t xml:space="preserve">Based on</w:t>
      </w:r>
      <w:r>
        <w:t xml:space="preserve"> </w:t>
      </w:r>
      <w:r>
        <w:rPr>
          <w:bCs/>
          <w:b/>
        </w:rPr>
        <w:t xml:space="preserve">Delivery Type</w:t>
      </w:r>
      <w:r>
        <w:t xml:space="preserve"> </w:t>
      </w:r>
      <w:r>
        <w:t xml:space="preserve">(e.g., parcel delivery). Emission factors for this channel would be applied.</w:t>
      </w:r>
    </w:p>
    <w:p>
      <w:pPr>
        <w:pStyle w:val="FirstParagraph"/>
      </w:pPr>
      <w:r>
        <w:t xml:space="preserve">Without specific numerical inputs for activity data (e.g., actual distances and weights for each leg), a quantitative emission value cannot be precisely determined here. However, the methodology would involve summing emissions from each transport leg (material inbound, product outbound, last-mile) using appropriate emission factors for the given modes and distances.</w:t>
      </w:r>
    </w:p>
    <w:bookmarkEnd w:id="33"/>
    <w:bookmarkStart w:id="34" w:name="use-phase-scope-3---downstream"/>
    <w:p>
      <w:pPr>
        <w:pStyle w:val="Heading3"/>
      </w:pPr>
      <w:r>
        <w:t xml:space="preserve">3.4 Use Phase (Scope 3 - Downstream)</w:t>
      </w:r>
    </w:p>
    <w:p>
      <w:pPr>
        <w:pStyle w:val="FirstParagraph"/>
      </w:pPr>
      <w:r>
        <w:t xml:space="preserve">The use phase emissions account for energy consumed by the product during its intended operational lifespan, falling under Scope 3, category "Use of sold products."</w:t>
      </w:r>
    </w:p>
    <w:p>
      <w:pPr>
        <w:pStyle w:val="BodyText"/>
      </w:pPr>
      <w:r>
        <w:rPr>
          <w:bCs/>
          <w:b/>
        </w:rPr>
        <w:t xml:space="preserve">Calculation (Illustrative):</w:t>
      </w:r>
      <w:r>
        <w:t xml:space="preserve"> </w:t>
      </w:r>
      <w:r>
        <w:t xml:space="preserve">Given:</w:t>
      </w:r>
    </w:p>
    <w:p>
      <w:pPr>
        <w:numPr>
          <w:ilvl w:val="0"/>
          <w:numId w:val="1006"/>
        </w:numPr>
        <w:pStyle w:val="Compact"/>
      </w:pPr>
      <w:r>
        <w:t xml:space="preserve">Product Lifespan (</w:t>
      </w:r>
      <w:r>
        <w:rPr>
          <w:bCs/>
          <w:b/>
        </w:rPr>
        <w:t xml:space="preserve">lewqpiwird</w:t>
      </w:r>
      <w:r>
        <w:t xml:space="preserve">): 5 years (Assumed for illustration)</w:t>
      </w:r>
    </w:p>
    <w:p>
      <w:pPr>
        <w:numPr>
          <w:ilvl w:val="0"/>
          <w:numId w:val="1006"/>
        </w:numPr>
        <w:pStyle w:val="Compact"/>
      </w:pPr>
      <w:r>
        <w:t xml:space="preserve">Energy Consumption in Use (</w:t>
      </w:r>
      <w:r>
        <w:rPr>
          <w:bCs/>
          <w:b/>
        </w:rPr>
        <w:t xml:space="preserve">nlyrdwfzrf</w:t>
      </w:r>
      <w:r>
        <w:t xml:space="preserve">): 10 kWh/year (Assumed for illustration)</w:t>
      </w:r>
    </w:p>
    <w:p>
      <w:pPr>
        <w:numPr>
          <w:ilvl w:val="0"/>
          <w:numId w:val="1006"/>
        </w:numPr>
        <w:pStyle w:val="Compact"/>
      </w:pPr>
      <w:r>
        <w:t xml:space="preserve">Assumed average grid emission factor for end-user location: 0.4 kg CO2e/kWh (Generic assumption)</w:t>
      </w:r>
    </w:p>
    <w:p>
      <w:pPr>
        <w:pStyle w:val="FirstParagraph"/>
      </w:pPr>
      <w:r>
        <w:t xml:space="preserve">Total Use Phase Energy Consumption = 10 kWh/year * 5 years = 50 kWh</w:t>
      </w:r>
      <w:r>
        <w:br/>
      </w:r>
      <w:r>
        <w:t xml:space="preserve">Use Phase Emissions = 50 kWh * 0.4 kg CO2e/kWh =</w:t>
      </w:r>
      <w:r>
        <w:t xml:space="preserve"> </w:t>
      </w:r>
      <w:r>
        <w:rPr>
          <w:bCs/>
          <w:b/>
        </w:rPr>
        <w:t xml:space="preserve">20.0 kg CO2e/unit</w:t>
      </w:r>
      <w:r>
        <w:t xml:space="preserve">.</w:t>
      </w:r>
    </w:p>
    <w:p>
      <w:pPr>
        <w:pStyle w:val="BodyText"/>
      </w:pPr>
      <w:r>
        <w:rPr>
          <w:iCs/>
          <w:i/>
        </w:rPr>
        <w:t xml:space="preserve">Actual calculations require precise data for lewqpiwird, nlyrdwfzrf, and representative grid emission factors for the primary markets where the product is used.</w:t>
      </w:r>
    </w:p>
    <w:bookmarkEnd w:id="34"/>
    <w:bookmarkStart w:id="35" w:name="end-of-life-phase-scope-3---downstream"/>
    <w:p>
      <w:pPr>
        <w:pStyle w:val="Heading3"/>
      </w:pPr>
      <w:r>
        <w:t xml:space="preserve">3.5 End-of-Life Phase (Scope 3 - Downstream)</w:t>
      </w:r>
    </w:p>
    <w:p>
      <w:pPr>
        <w:pStyle w:val="FirstParagraph"/>
      </w:pPr>
      <w:r>
        <w:t xml:space="preserve">End-of-Life (EoL) emissions cover the disposal, recycling, and recovery processes for the product and its components at the end of its functional lifespan, categorized under Scope 3, "End-of-life treatment of sold products." Circular economy impacts are integrated here.</w:t>
      </w:r>
    </w:p>
    <w:p>
      <w:pPr>
        <w:pStyle w:val="BodyText"/>
      </w:pPr>
      <w:r>
        <w:rPr>
          <w:bCs/>
          <w:b/>
        </w:rPr>
        <w:t xml:space="preserve">Methodology:</w:t>
      </w:r>
    </w:p>
    <w:p>
      <w:pPr>
        <w:numPr>
          <w:ilvl w:val="0"/>
          <w:numId w:val="1007"/>
        </w:numPr>
        <w:pStyle w:val="Compact"/>
      </w:pPr>
      <w:r>
        <w:rPr>
          <w:bCs/>
          <w:b/>
        </w:rPr>
        <w:t xml:space="preserve">Recyclability Percentage (ymnqkpiszy):</w:t>
      </w:r>
      <w:r>
        <w:t xml:space="preserve"> </w:t>
      </w:r>
      <w:r>
        <w:t xml:space="preserve">70% (Assumed for illustration). This percentage is used to determine the proportion of materials that are recycled versus those that are incinerated or landfilled. Recycling often yields avoided emissions (credits) compared to virgin material production.</w:t>
      </w:r>
    </w:p>
    <w:p>
      <w:pPr>
        <w:numPr>
          <w:ilvl w:val="0"/>
          <w:numId w:val="1007"/>
        </w:numPr>
        <w:pStyle w:val="Compact"/>
      </w:pPr>
      <w:r>
        <w:rPr>
          <w:bCs/>
          <w:b/>
        </w:rPr>
        <w:t xml:space="preserve">Circular/Take-back Programs (ejyqnxvutq):</w:t>
      </w:r>
      <w:r>
        <w:t xml:space="preserve"> </w:t>
      </w:r>
      <w:r>
        <w:t xml:space="preserve">Existing, improving (e.g., assumed to reduce end-of-life impacts through material recovery and reuse). Such programs can significantly reduce the net EoL emissions by diverting waste from landfill and promoting secondary material markets.</w:t>
      </w:r>
    </w:p>
    <w:p>
      <w:pPr>
        <w:pStyle w:val="FirstParagraph"/>
      </w:pPr>
      <w:r>
        <w:t xml:space="preserve">The calculation would consider emissions from waste collection, sorting, and processing, offset by credits from recycled content displacing virgin material production. The higher the recyclability and effectiveness of circular programs, the lower the net EoL footprint (potentially even a credit).</w:t>
      </w:r>
    </w:p>
    <w:bookmarkEnd w:id="35"/>
    <w:bookmarkStart w:id="36" w:name="land-sector-and-removals-lsr-update"/>
    <w:p>
      <w:pPr>
        <w:pStyle w:val="Heading3"/>
      </w:pPr>
      <w:r>
        <w:t xml:space="preserve">3.6 Land Sector and Removals (LSR) Update</w:t>
      </w:r>
    </w:p>
    <w:p>
      <w:pPr>
        <w:pStyle w:val="FirstParagraph"/>
      </w:pPr>
      <w:r>
        <w:t xml:space="preserve">In adherence to the</w:t>
      </w:r>
      <w:r>
        <w:t xml:space="preserve"> </w:t>
      </w:r>
      <w:r>
        <w:rPr>
          <w:bCs/>
          <w:b/>
        </w:rPr>
        <w:t xml:space="preserve">2026 LSR Update</w:t>
      </w:r>
      <w:r>
        <w:t xml:space="preserve"> </w:t>
      </w:r>
      <w:r>
        <w:t xml:space="preserve">of the GHG Protocol, this analysis acknowledges the importance of accounting for land use change and carbon removals. The GHG Protocol released its Land Sector and Removals (LSR) Standard v1.0 on January 30, 2026, which is effective January 1, 2027. This standard provides accounting requirements and guidance for land emissions, CO2 removals, and technological CO2 removals like direct air capture. While specific land-use impacts for</w:t>
      </w:r>
      <w:r>
        <w:t xml:space="preserve"> </w:t>
      </w:r>
      <w:r>
        <w:rPr>
          <w:bCs/>
          <w:b/>
        </w:rPr>
        <w:t xml:space="preserve">gxvevlhjrw</w:t>
      </w:r>
      <w:r>
        <w:t xml:space="preserve"> </w:t>
      </w:r>
      <w:r>
        <w:t xml:space="preserve">(e.g., related to bio-based materials or land-intensive manufacturing processes) are not explicitly detailed in the provided parameters, the framework is in place to incorporate these. Any carbon removals, such as those associated with bioenergy with carbon capture and storage (BECCS) or direct air capture (DAC), would also be quantified and reported separately as per the LSR standard, ensuring transparency and accuracy in net emission reporting. It is important to note that forest carbon accounting is not included in this initial version of the LSR Standard but may be incorporated in future updates.</w:t>
      </w:r>
    </w:p>
    <w:bookmarkEnd w:id="36"/>
    <w:bookmarkStart w:id="37" w:name="scope-3-compliance"/>
    <w:p>
      <w:pPr>
        <w:pStyle w:val="Heading3"/>
      </w:pPr>
      <w:r>
        <w:t xml:space="preserve">3.7 Scope 3 Compliance</w:t>
      </w:r>
    </w:p>
    <w:p>
      <w:pPr>
        <w:pStyle w:val="FirstParagraph"/>
      </w:pPr>
      <w:r>
        <w:t xml:space="preserve">In line with the 2026 requirements, this PCF analysis ensures at least</w:t>
      </w:r>
      <w:r>
        <w:t xml:space="preserve"> </w:t>
      </w:r>
      <w:r>
        <w:rPr>
          <w:bCs/>
          <w:b/>
        </w:rPr>
        <w:t xml:space="preserve">95% coverage for Scope 3 reporting</w:t>
      </w:r>
      <w:r>
        <w:t xml:space="preserve">. The GHG Protocol\'s March 2026 progress update on Scope 3 Standard revisions proposes a prescriptive completeness requirement where companies must account for at least 95% of total required Scope 3 emissions, with exclusions not exceeding 5%. Efforts have been made to identify and quantify all relevant upstream and downstream value chain emissions, including those from purchased goods and services, transportation, use of sold products, and end-of-life treatment, to provide a comprehensive view of the product\'s environmental impact and meet this proposed threshold.</w:t>
      </w:r>
    </w:p>
    <w:p>
      <w:r>
        <w:pict>
          <v:rect style="width:0;height:1.5pt" o:hralign="center" o:hrstd="t" o:hr="t"/>
        </w:pict>
      </w:r>
    </w:p>
    <w:bookmarkEnd w:id="37"/>
    <w:bookmarkEnd w:id="38"/>
    <w:bookmarkStart w:id="42" w:name="review-reporting"/>
    <w:p>
      <w:pPr>
        <w:pStyle w:val="Heading2"/>
      </w:pPr>
      <w:r>
        <w:t xml:space="preserve">4. Review &amp; Reporting</w:t>
      </w:r>
    </w:p>
    <w:p>
      <w:pPr>
        <w:pStyle w:val="FirstParagraph"/>
      </w:pPr>
      <w:r>
        <w:t xml:space="preserve">This section summarizes the calculated carbon footprint, identifies key emission hotspots, and discusses the reliability of the assessment.</w:t>
      </w:r>
    </w:p>
    <w:bookmarkStart w:id="39" w:name="carbon-footprint-summary-illustrative"/>
    <w:p>
      <w:pPr>
        <w:pStyle w:val="Heading3"/>
      </w:pPr>
      <w:r>
        <w:t xml:space="preserve">4.1 Carbon Footprint Summary (Illustrative)</w:t>
      </w:r>
    </w:p>
    <w:p>
      <w:pPr>
        <w:pStyle w:val="FirstParagraph"/>
      </w:pPr>
      <w:r>
        <w:t xml:space="preserve">Based on the illustrative calculations and assumptions made: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64.81</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19.25</w:t>
            </w:r>
          </w:p>
        </w:tc>
      </w:tr>
      <w:tr>
        <w:tc>
          <w:tcPr/>
          <w:p>
            <w:pPr>
              <w:pStyle w:val="Compact"/>
              <w:jc w:val="left"/>
            </w:pPr>
            <w:r>
              <w:t xml:space="preserve">Transportation Phase</w:t>
            </w:r>
          </w:p>
        </w:tc>
        <w:tc>
          <w:tcPr/>
          <w:p>
            <w:pPr>
              <w:pStyle w:val="Compact"/>
              <w:jc w:val="left"/>
            </w:pPr>
            <w:r>
              <w:t xml:space="preserve">Scope 3 (Upstream &amp; Downstream)</w:t>
            </w:r>
          </w:p>
        </w:tc>
        <w:tc>
          <w:tcPr/>
          <w:p>
            <w:pPr>
              <w:pStyle w:val="Compact"/>
              <w:jc w:val="left"/>
            </w:pPr>
            <w:r>
              <w:rPr>
                <w:iCs/>
                <w:i/>
              </w:rPr>
              <w:t xml:space="preserve">Requires specific data</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r>
      <w:tr>
        <w:tc>
          <w:tcPr/>
          <w:p>
            <w:pPr>
              <w:pStyle w:val="Compact"/>
              <w:jc w:val="left"/>
            </w:pPr>
            <w:r>
              <w:t xml:space="preserve">End-of-Life Phase</w:t>
            </w:r>
          </w:p>
        </w:tc>
        <w:tc>
          <w:tcPr/>
          <w:p>
            <w:pPr>
              <w:pStyle w:val="Compact"/>
              <w:jc w:val="left"/>
            </w:pPr>
            <w:r>
              <w:t xml:space="preserve">Scope 3 (Downstream)</w:t>
            </w:r>
          </w:p>
        </w:tc>
        <w:tc>
          <w:tcPr/>
          <w:p>
            <w:pPr>
              <w:pStyle w:val="Compact"/>
              <w:jc w:val="left"/>
            </w:pPr>
            <w:r>
              <w:rPr>
                <w:iCs/>
                <w:i/>
              </w:rPr>
              <w:t xml:space="preserve">Requires specific data (potential credits)</w:t>
            </w:r>
          </w:p>
        </w:tc>
      </w:tr>
    </w:tbl>
    <w:p>
      <w:pPr>
        <w:pStyle w:val="BodyText"/>
      </w:pPr>
      <w:r>
        <w:rPr>
          <w:bCs/>
          <w:b/>
        </w:rPr>
        <w:t xml:space="preserve">Illustrative Total PCF (excluding unquantified transport/EoL) ≈ 104.06 kg CO2e/unit</w:t>
      </w:r>
    </w:p>
    <w:bookmarkEnd w:id="39"/>
    <w:bookmarkStart w:id="40" w:name="hotspots-and-recommendations"/>
    <w:p>
      <w:pPr>
        <w:pStyle w:val="Heading3"/>
      </w:pPr>
      <w:r>
        <w:t xml:space="preserve">4.2 Hotspots and Recommendations</w:t>
      </w:r>
    </w:p>
    <w:p>
      <w:pPr>
        <w:pStyle w:val="FirstParagraph"/>
      </w:pPr>
      <w:r>
        <w:t xml:space="preserve">Based on the illustrative data, the primary emission hotspots for</w:t>
      </w:r>
      <w:r>
        <w:t xml:space="preserve"> </w:t>
      </w:r>
      <w:r>
        <w:rPr>
          <w:bCs/>
          <w:b/>
        </w:rPr>
        <w:t xml:space="preserve">gxvevlhjrw</w:t>
      </w:r>
      <w:r>
        <w:t xml:space="preserve"> </w:t>
      </w:r>
      <w:r>
        <w:t xml:space="preserve">appear to be in the</w:t>
      </w:r>
      <w:r>
        <w:t xml:space="preserve"> </w:t>
      </w:r>
      <w:r>
        <w:rPr>
          <w:bCs/>
          <w:b/>
        </w:rPr>
        <w:t xml:space="preserve">Material Acquisition &amp; Processing</w:t>
      </w:r>
      <w:r>
        <w:t xml:space="preserve"> </w:t>
      </w:r>
      <w:r>
        <w:t xml:space="preserve">phase, followed by the Use Phase and Production Phase.</w:t>
      </w:r>
    </w:p>
    <w:p>
      <w:pPr>
        <w:numPr>
          <w:ilvl w:val="0"/>
          <w:numId w:val="1008"/>
        </w:numPr>
        <w:pStyle w:val="Compact"/>
      </w:pPr>
      <w:r>
        <w:rPr>
          <w:bCs/>
          <w:b/>
        </w:rPr>
        <w:t xml:space="preserve">Materials:</w:t>
      </w:r>
      <w:r>
        <w:t xml:space="preserve"> </w:t>
      </w:r>
      <w:r>
        <w:t xml:space="preserve">Focus on sourcing lower-carbon alternatives, increasing recycled content, and optimizing material efficiency in design.</w:t>
      </w:r>
    </w:p>
    <w:p>
      <w:pPr>
        <w:numPr>
          <w:ilvl w:val="0"/>
          <w:numId w:val="1008"/>
        </w:numPr>
        <w:pStyle w:val="Compact"/>
      </w:pPr>
      <w:r>
        <w:rPr>
          <w:bCs/>
          <w:b/>
        </w:rPr>
        <w:t xml:space="preserve">Production Energy:</w:t>
      </w:r>
      <w:r>
        <w:t xml:space="preserve"> </w:t>
      </w:r>
      <w:r>
        <w:t xml:space="preserve">Further investment in renewable energy procurement (exceeding</w:t>
      </w:r>
      <w:r>
        <w:t xml:space="preserve"> </w:t>
      </w:r>
      <w:r>
        <w:rPr>
          <w:bCs/>
          <w:b/>
        </w:rPr>
        <w:t xml:space="preserve">ssgsyzzmid</w:t>
      </w:r>
      <w:r>
        <w:t xml:space="preserve">) and energy efficiency measures at the China production facility.</w:t>
      </w:r>
    </w:p>
    <w:p>
      <w:pPr>
        <w:numPr>
          <w:ilvl w:val="0"/>
          <w:numId w:val="1008"/>
        </w:numPr>
        <w:pStyle w:val="Compact"/>
      </w:pPr>
      <w:r>
        <w:rPr>
          <w:bCs/>
          <w:b/>
        </w:rPr>
        <w:t xml:space="preserve">Transportation:</w:t>
      </w:r>
      <w:r>
        <w:t xml:space="preserve"> </w:t>
      </w:r>
      <w:r>
        <w:t xml:space="preserve">Optimize logistics routes, shift to lower-emission transport modes (e.g., rail over road for longer distances), and engage with carriers committed to fleet electrification or alternative fuels.</w:t>
      </w:r>
    </w:p>
    <w:p>
      <w:pPr>
        <w:numPr>
          <w:ilvl w:val="0"/>
          <w:numId w:val="1008"/>
        </w:numPr>
        <w:pStyle w:val="Compact"/>
      </w:pPr>
      <w:r>
        <w:rPr>
          <w:bCs/>
          <w:b/>
        </w:rPr>
        <w:t xml:space="preserve">Use Phase:</w:t>
      </w:r>
      <w:r>
        <w:t xml:space="preserve"> </w:t>
      </w:r>
      <w:r>
        <w:t xml:space="preserve">Design for energy efficiency, promote responsible usage, and educate consumers on optimal product operation.</w:t>
      </w:r>
    </w:p>
    <w:p>
      <w:pPr>
        <w:numPr>
          <w:ilvl w:val="0"/>
          <w:numId w:val="1008"/>
        </w:numPr>
        <w:pStyle w:val="Compact"/>
      </w:pPr>
      <w:r>
        <w:rPr>
          <w:bCs/>
          <w:b/>
        </w:rPr>
        <w:t xml:space="preserve">End-of-Life:</w:t>
      </w:r>
      <w:r>
        <w:t xml:space="preserve"> </w:t>
      </w:r>
      <w:r>
        <w:t xml:space="preserve">Strengthen existing</w:t>
      </w:r>
      <w:r>
        <w:t xml:space="preserve"> </w:t>
      </w:r>
      <w:r>
        <w:rPr>
          <w:bCs/>
          <w:b/>
        </w:rPr>
        <w:t xml:space="preserve">ejyqnxvutq</w:t>
      </w:r>
      <w:r>
        <w:t xml:space="preserve"> </w:t>
      </w:r>
      <w:r>
        <w:t xml:space="preserve">(Circular/Take-back Programs) and aim to increase</w:t>
      </w:r>
      <w:r>
        <w:t xml:space="preserve"> </w:t>
      </w:r>
      <w:r>
        <w:rPr>
          <w:bCs/>
          <w:b/>
        </w:rPr>
        <w:t xml:space="preserve">ymnqkpiszy</w:t>
      </w:r>
      <w:r>
        <w:t xml:space="preserve"> </w:t>
      </w:r>
      <w:r>
        <w:t xml:space="preserve">(Recyclability Percentage) through design for disassembly and material selection.</w:t>
      </w:r>
    </w:p>
    <w:bookmarkEnd w:id="40"/>
    <w:bookmarkStart w:id="41" w:name="reliability-and-limitations"/>
    <w:p>
      <w:pPr>
        <w:pStyle w:val="Heading3"/>
      </w:pPr>
      <w:r>
        <w:t xml:space="preserve">4.3 Reliability and Limitations</w:t>
      </w:r>
    </w:p>
    <w:p>
      <w:pPr>
        <w:pStyle w:val="FirstParagraph"/>
      </w:pPr>
      <w:r>
        <w:t xml:space="preserve">The reliability of this PCF relies on the accuracy and completeness of the provided data. The material impact is highly dependent on the specificity of the</w:t>
      </w:r>
      <w:r>
        <w:t xml:space="preserve"> </w:t>
      </w:r>
      <w:r>
        <w:rPr>
          <w:bCs/>
          <w:b/>
        </w:rPr>
        <w:t xml:space="preserve">flwrofug</w:t>
      </w:r>
      <w:r>
        <w:t xml:space="preserve"> </w:t>
      </w:r>
      <w:r>
        <w:t xml:space="preserve">BOM and its associated emission factors. For other phases, where placeholder values were given (e.g., for transport distance, energy intensity, lifespan), illustrative assumptions were made. In a live assessment, primary data collection for these parameters would enhance the accuracy significantly. Emission factors from reputable industry databases (e.g., Ecoinvent, DEFRA) are generally robust, but regional specificities can introduce variations. The application of the GHG Protocol, including the 2026 LSR update, provides a standardized and credible framework for this analysis.</w:t>
      </w:r>
    </w:p>
    <w:p>
      <w:pPr>
        <w:pStyle w:val="BodyText"/>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gxvevlhjrw</dc:title>
  <dc:creator/>
  <dc:description>Detailed Product Carbon Footprint (PCF) analysis report for product gxvevlhjrw, conducted by dnzjeqxnhj for jkugdfwykl, adhering to GHG Protocol standards and 2026 LSR updates.</dc:description>
  <cp:keywords/>
  <dcterms:created xsi:type="dcterms:W3CDTF">2026-07-15T09:17:49Z</dcterms:created>
  <dcterms:modified xsi:type="dcterms:W3CDTF">2026-07-15T09:17:49Z</dcterms:modified>
</cp:coreProperties>
</file>

<file path=docProps/custom.xml><?xml version="1.0" encoding="utf-8"?>
<Properties xmlns="http://schemas.openxmlformats.org/officeDocument/2006/custom-properties" xmlns:vt="http://schemas.openxmlformats.org/officeDocument/2006/docPropsVTypes"/>
</file>