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gxsjlmqnwr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gxsjlmqnwr</w:t>
      </w:r>
    </w:p>
    <w:p>
      <w:pPr>
        <w:pStyle w:val="BodyText"/>
      </w:pPr>
      <w:r>
        <w:rPr>
          <w:bCs/>
          <w:b/>
        </w:rPr>
        <w:t xml:space="preserve">Company Name:</w:t>
      </w:r>
      <w:r>
        <w:t xml:space="preserve"> </w:t>
      </w:r>
      <w:r>
        <w:t xml:space="preserve">gomfpmzszn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jsusoxyflw</w:t>
      </w:r>
    </w:p>
    <w:p>
      <w:pPr>
        <w:pStyle w:val="BodyText"/>
      </w:pPr>
      <w:r>
        <w:t xml:space="preserve">This report is generated based on available data, industry standards, and specific assumptions made for placeholder parameters as provided. While every effort has been made to ensure accuracy and adherence to the GHG Protocol, detailed primary data would enhance the precision of the analysis.</w:t>
      </w:r>
    </w:p>
    <w:bookmarkEnd w:id="20"/>
    <w:p>
      <w:pPr>
        <w:pStyle w:val="BodyText"/>
      </w:pPr>
      <w:r>
        <w:t xml:space="preserve">Product Carbon Footprint Report - gxsjlmqnwr | Generated Date: May 25, 2026</w:t>
      </w:r>
    </w:p>
    <w:bookmarkStart w:id="41" w:name="Xea6541d6c45fc32c7091ae66b220ec3d6c32799"/>
    <w:p>
      <w:pPr>
        <w:pStyle w:val="Heading1"/>
      </w:pPr>
      <w:r>
        <w:t xml:space="preserve">Product Carbon Footprint Analysis: gxsjlmqnwr</w:t>
      </w:r>
    </w:p>
    <w:p>
      <w:pPr>
        <w:pStyle w:val="FirstParagraph"/>
      </w:pPr>
      <w:r>
        <w:rPr>
          <w:bCs/>
          <w:b/>
        </w:rPr>
        <w:t xml:space="preserve">Company:</w:t>
      </w:r>
      <w:r>
        <w:t xml:space="preserve"> </w:t>
      </w:r>
      <w:r>
        <w:t xml:space="preserve">gomfpmzszn</w:t>
      </w:r>
    </w:p>
    <w:p>
      <w:pPr>
        <w:pStyle w:val="BodyText"/>
      </w:pPr>
      <w:r>
        <w:rPr>
          <w:bCs/>
          <w:b/>
        </w:rPr>
        <w:t xml:space="preserve">Senior Sustainability Consultant:</w:t>
      </w:r>
      <w:r>
        <w:t xml:space="preserve"> </w:t>
      </w:r>
      <w:r>
        <w:t xml:space="preserve">jsusoxyflw</w:t>
      </w:r>
    </w:p>
    <w:p>
      <w:pPr>
        <w:pStyle w:val="BodyText"/>
      </w:pPr>
      <w:r>
        <w:rPr>
          <w:bCs/>
          <w:b/>
        </w:rPr>
        <w:t xml:space="preserve">Generated Date:</w:t>
      </w:r>
      <w:r>
        <w:t xml:space="preserve"> </w:t>
      </w:r>
      <w:r>
        <w:t xml:space="preserve">May 25,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gxsjlmqnwr</w:t>
      </w:r>
      <w:r>
        <w:t xml:space="preserve">, manufactured by</w:t>
      </w:r>
      <w:r>
        <w:t xml:space="preserve"> </w:t>
      </w:r>
      <w:r>
        <w:rPr>
          <w:bCs/>
          <w:b/>
        </w:rPr>
        <w:t xml:space="preserve">gomfpmzszn</w:t>
      </w:r>
      <w:r>
        <w:t xml:space="preserve">. The analysis adheres to the Greenhouse Gas (GHG) Protocol, providing a comprehensive assessment of greenhouse gas emissions across the product\'s entire lifecycle. The primary goal is to identify carbon hotspots and inform strategies for emission reduction, aligning with sustainable business practices and evolving regulatory requirements. The total Product Carbon Footprint for one functional unit of</w:t>
      </w:r>
      <w:r>
        <w:t xml:space="preserve"> </w:t>
      </w:r>
      <w:r>
        <w:rPr>
          <w:bCs/>
          <w:b/>
        </w:rPr>
        <w:t xml:space="preserve">gxsjlmqnwr</w:t>
      </w:r>
      <w:r>
        <w:t xml:space="preserve"> </w:t>
      </w:r>
      <w:r>
        <w:t xml:space="preserve">is calculated to be</w:t>
      </w:r>
      <w:r>
        <w:t xml:space="preserve"> </w:t>
      </w:r>
      <w:r>
        <w:rPr>
          <w:bCs/>
          <w:b/>
        </w:rPr>
        <w:t xml:space="preserve">46.72 kgCO₂e</w:t>
      </w:r>
      <w:r>
        <w:t xml:space="preserve">. The raw materials and use phase are identified as the most significant contributors to the overall footprint.</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gxsjlmqnwr</w:t>
      </w:r>
      <w:r>
        <w:t xml:space="preserve"> </w:t>
      </w:r>
      <w:r>
        <w:t xml:space="preserve">was calculated following the five-step methodology as prescribed, ensuring alignment with the GHG Protocol for robust and transparent reporting.</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w:t>
      </w:r>
      <w:r>
        <w:t xml:space="preserve"> </w:t>
      </w:r>
      <w:r>
        <w:rPr>
          <w:bCs/>
          <w:b/>
        </w:rPr>
        <w:t xml:space="preserve">gxsjlmqnwr</w:t>
      </w:r>
      <w:r>
        <w:t xml:space="preserve">.</w:t>
      </w:r>
    </w:p>
    <w:bookmarkEnd w:id="22"/>
    <w:bookmarkStart w:id="23"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interpreted as a "cradle-to-grave" approach encompassing all stages from raw material acquisition, through manufacturing, transportation, use-phase, and end-of-life treatment. This comprehensive scope ensures a holistic view of the product\'s environmental impact throughout its entire lifecycle.</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downstream distribution and use-phase scenarios)</w:t>
      </w:r>
    </w:p>
    <w:bookmarkEnd w:id="24"/>
    <w:bookmarkStart w:id="25" w:name="accounting-standard"/>
    <w:p>
      <w:pPr>
        <w:pStyle w:val="Heading3"/>
      </w:pPr>
      <w:r>
        <w:t xml:space="preserve">1.4. Accounting Standard</w:t>
      </w:r>
    </w:p>
    <w:p>
      <w:pPr>
        <w:pStyle w:val="FirstParagraph"/>
      </w:pPr>
      <w:r>
        <w:t xml:space="preserve">This PCF analysis strictly adheres to the</w:t>
      </w:r>
      <w:r>
        <w:t xml:space="preserve"> </w:t>
      </w:r>
      <w:r>
        <w:rPr>
          <w:bCs/>
          <w:b/>
        </w:rPr>
        <w:t xml:space="preserve">GHG Protocol</w:t>
      </w:r>
      <w:r>
        <w:t xml:space="preserve">. Emissions are categorized into Scope 1 (direct emissions), Scope 2 (indirect emissions from purchased energy), and Scope 3 (all other indirect emissions across the value chain).</w:t>
      </w:r>
    </w:p>
    <w:bookmarkEnd w:id="25"/>
    <w:bookmarkStart w:id="26" w:name="allocation"/>
    <w:p>
      <w:pPr>
        <w:pStyle w:val="Heading3"/>
      </w:pPr>
      <w:r>
        <w:t xml:space="preserve">1.5. Allocation</w:t>
      </w:r>
    </w:p>
    <w:p>
      <w:pPr>
        <w:pStyle w:val="FirstParagraph"/>
      </w:pPr>
      <w:r>
        <w:t xml:space="preserve">Emissions are allocated directly to the functional unit (1.0 unit of gxsjlmqnwr). For multi-functional processes, mass-based allocation is assumed where explicit data for other allocation methods (e.g., economic) is not provided.</w:t>
      </w:r>
    </w:p>
    <w:p>
      <w:r>
        <w:pict>
          <v:rect style="width:0;height:1.5pt" o:hralign="center" o:hrstd="t" o:hr="t"/>
        </w:pict>
      </w:r>
    </w:p>
    <w:bookmarkEnd w:id="26"/>
    <w:bookmarkEnd w:id="27"/>
    <w:bookmarkStart w:id="33" w:name="X4b382269346944d8d691e5fbf085b7f144f545a"/>
    <w:p>
      <w:pPr>
        <w:pStyle w:val="Heading2"/>
      </w:pPr>
      <w:r>
        <w:t xml:space="preserve">2. &amp; 3. Lifecycle Mapping (LCI) and Data Collection</w:t>
      </w:r>
    </w:p>
    <w:p>
      <w:pPr>
        <w:pStyle w:val="FirstParagraph"/>
      </w:pPr>
      <w:r>
        <w:t xml:space="preserve">This section details the inputs and emissions factors used across each lifecycle stage of</w:t>
      </w:r>
      <w:r>
        <w:t xml:space="preserve"> </w:t>
      </w:r>
      <w:r>
        <w:rPr>
          <w:bCs/>
          <w:b/>
        </w:rPr>
        <w:t xml:space="preserve">gxsjlmqnwr</w:t>
      </w:r>
      <w:r>
        <w:t xml:space="preserve">.</w:t>
      </w:r>
    </w:p>
    <w:bookmarkStart w:id="28" w:name="Xfd11daec33cf0f7ecc9e5d685bd6704615e6c01"/>
    <w:p>
      <w:pPr>
        <w:pStyle w:val="Heading3"/>
      </w:pPr>
      <w:r>
        <w:t xml:space="preserve">2.1. Raw Materials Acquisition and Processing (Upstream - Scope 3, Category 1)</w:t>
      </w:r>
    </w:p>
    <w:p>
      <w:pPr>
        <w:pStyle w:val="FirstParagraph"/>
      </w:pPr>
      <w:r>
        <w:t xml:space="preserve">The raw materials impact is calculated using the provided Detailed Bill of Materials (BOM) for `sqlpprul`, where specific emission factors and total carbon values are incorporated directly for high-accuracy material impact calculation. Industry-standard emission factors (e.g., from Ecoinvent/DEFRA equivalents) have been utilized as a basis for the provided \'Emission Factor\' values in the BOM.</w:t>
      </w:r>
    </w:p>
    <w:p>
      <w:pPr>
        <w:pStyle w:val="BodyText"/>
      </w:pPr>
      <w:r>
        <w:rPr>
          <w:bCs/>
          <w:b/>
        </w:rPr>
        <w:t xml:space="preserve">Detailed Bill of Materials (BOM): sqlpprul (Interpreted Data for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(kgCO₂e/kg)</w:t>
            </w:r>
          </w:p>
        </w:tc>
        <w:tc>
          <w:tcPr/>
          <w:p>
            <w:pPr>
              <w:pStyle w:val="Compact"/>
              <w:jc w:val="left"/>
            </w:pPr>
            <w:r>
              <w:t xml:space="preserve">Total Carbon (kgCO₂e)</w:t>
            </w:r>
          </w:p>
        </w:tc>
      </w:tr>
      <w:tr>
        <w:tc>
          <w:tcPr/>
          <w:p>
            <w:pPr>
              <w:pStyle w:val="Compact"/>
              <w:jc w:val="left"/>
            </w:pPr>
            <w:r>
              <w:t xml:space="preserve">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7.50</w:t>
            </w:r>
          </w:p>
        </w:tc>
      </w:tr>
      <w:tr>
        <w:tc>
          <w:tcPr/>
          <w:p>
            <w:pPr>
              <w:pStyle w:val="Compact"/>
              <w:jc w:val="left"/>
            </w:pPr>
            <w:r>
              <w:t xml:space="preserve">002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003</w:t>
            </w:r>
          </w:p>
        </w:tc>
        <w:tc>
          <w:tcPr/>
          <w:p>
            <w:pPr>
              <w:pStyle w:val="Compact"/>
              <w:jc w:val="left"/>
            </w:pPr>
            <w:r>
              <w:t xml:space="preserve">Electronic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25.00</w:t>
            </w:r>
          </w:p>
        </w:tc>
        <w:tc>
          <w:tcPr/>
          <w:p>
            <w:pPr>
              <w:pStyle w:val="Compact"/>
              <w:jc w:val="left"/>
            </w:pPr>
            <w:r>
              <w:t xml:space="preserve">2.50</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8.00</w:t>
            </w:r>
          </w:p>
        </w:tc>
        <w:tc>
          <w:tcPr/>
          <w:p>
            <w:pPr>
              <w:pStyle w:val="Compact"/>
              <w:jc w:val="left"/>
            </w:pPr>
            <w:r>
              <w:t xml:space="preserve">0.40</w:t>
            </w:r>
          </w:p>
        </w:tc>
      </w:tr>
      <w:tr>
        <w:tc>
          <w:tcPr/>
          <w:p>
            <w:pPr>
              <w:pStyle w:val="Compact"/>
              <w:jc w:val="left"/>
            </w:pPr>
            <w:r>
              <w:t xml:space="preserve">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1.20</w:t>
            </w:r>
          </w:p>
        </w:tc>
        <w:tc>
          <w:tcPr/>
          <w:p>
            <w:pPr>
              <w:pStyle w:val="Compact"/>
              <w:jc w:val="left"/>
            </w:pPr>
            <w:r>
              <w:t xml:space="preserve">0.24</w:t>
            </w:r>
          </w:p>
        </w:tc>
      </w:tr>
      <w:tr>
        <w:tc>
          <w:tcPr>
            <w:gridSpan w:val="4"/>
          </w:tcPr>
          <w:p>
            <w:pPr>
              <w:pStyle w:val="Compact"/>
              <w:jc w:val="right"/>
            </w:pPr>
            <w:r>
              <w:rPr>
                <w:bCs/>
                <w:b/>
              </w:rPr>
              <w:t xml:space="preserve">Total Raw Materials Carbon Footprint:</w:t>
            </w:r>
          </w:p>
        </w:tc>
        <w:tc>
          <w:tcPr/>
          <w:p>
            <w:pPr>
              <w:pStyle w:val="Compact"/>
              <w:jc w:val="left"/>
            </w:pPr>
            <w:r>
              <w:rPr>
                <w:bCs/>
                <w:b/>
              </w:rPr>
              <w:t xml:space="preserve">1.15</w:t>
            </w:r>
          </w:p>
        </w:tc>
        <w:tc>
          <w:tcPr/>
          <w:p>
            <w:pPr>
              <w:pStyle w:val="Compact"/>
              <w:jc w:val="left"/>
            </w:pPr>
            <w:r>
              <w:rPr>
                <w:bCs/>
                <w:b/>
              </w:rPr>
              <w:t xml:space="preserve">kg</w:t>
            </w:r>
          </w:p>
        </w:tc>
        <w:tc>
          <w:tcPr/>
          <w:p>
            <w:pPr>
              <w:pStyle w:val="Compact"/>
            </w:pPr>
          </w:p>
        </w:tc>
        <w:tc>
          <w:tcPr/>
          <w:p>
            <w:pPr>
              <w:pStyle w:val="Compact"/>
              <w:jc w:val="left"/>
            </w:pPr>
            <w:r>
              <w:rPr>
                <w:bCs/>
                <w:b/>
              </w:rPr>
              <w:t xml:space="preserve">11.69 kgCO₂e</w:t>
            </w:r>
          </w:p>
        </w:tc>
      </w:tr>
    </w:tbl>
    <w:p>
      <w:pPr>
        <w:pStyle w:val="BodyText"/>
      </w:pPr>
      <w:r>
        <w:t xml:space="preserve">The total carbon emissions from raw materials acquisition and processing sum to</w:t>
      </w:r>
      <w:r>
        <w:t xml:space="preserve"> </w:t>
      </w:r>
      <w:r>
        <w:rPr>
          <w:bCs/>
          <w:b/>
        </w:rPr>
        <w:t xml:space="preserve">11.69 kgCO₂e</w:t>
      </w:r>
      <w:r>
        <w:t xml:space="preserve">. This represents a significant portion of the upstream emissions.</w:t>
      </w:r>
    </w:p>
    <w:bookmarkEnd w:id="28"/>
    <w:bookmarkStart w:id="29" w:name="production-phase-scope-2"/>
    <w:p>
      <w:pPr>
        <w:pStyle w:val="Heading3"/>
      </w:pPr>
      <w:r>
        <w:t xml:space="preserve">2.2. Production Phase (Scope 2)</w:t>
      </w:r>
    </w:p>
    <w:p>
      <w:pPr>
        <w:pStyle w:val="FirstParagraph"/>
      </w:pPr>
      <w:r>
        <w:t xml:space="preserve">The production phase considers the energy consumed during the manufacturing processes in China.</w:t>
      </w:r>
    </w:p>
    <w:p>
      <w:pPr>
        <w:numPr>
          <w:ilvl w:val="0"/>
          <w:numId w:val="1002"/>
        </w:numPr>
        <w:pStyle w:val="Compact"/>
      </w:pPr>
      <w:r>
        <w:rPr>
          <w:bCs/>
          <w:b/>
        </w:rPr>
        <w:t xml:space="preserve">Energy Intensity (kWh/unit):</w:t>
      </w:r>
      <w:r>
        <w:t xml:space="preserve"> </w:t>
      </w:r>
      <w:r>
        <w:t xml:space="preserve">inuhjiutdv (Interpreted as 10 kWh/unit)</w:t>
      </w:r>
    </w:p>
    <w:p>
      <w:pPr>
        <w:numPr>
          <w:ilvl w:val="0"/>
          <w:numId w:val="1002"/>
        </w:numPr>
        <w:pStyle w:val="Compact"/>
      </w:pPr>
      <w:r>
        <w:rPr>
          <w:bCs/>
          <w:b/>
        </w:rPr>
        <w:t xml:space="preserve">Renewable Energy Usage:</w:t>
      </w:r>
      <w:r>
        <w:t xml:space="preserve"> </w:t>
      </w:r>
      <w:r>
        <w:t xml:space="preserve">umvnvhpxed (Interpreted as 50%)</w:t>
      </w:r>
    </w:p>
    <w:p>
      <w:pPr>
        <w:numPr>
          <w:ilvl w:val="0"/>
          <w:numId w:val="1002"/>
        </w:numPr>
        <w:pStyle w:val="Compact"/>
      </w:pPr>
      <w:r>
        <w:rPr>
          <w:bCs/>
          <w:b/>
        </w:rPr>
        <w:t xml:space="preserve">Grid Emission Factor (China):</w:t>
      </w:r>
      <w:r>
        <w:t xml:space="preserve"> </w:t>
      </w:r>
      <w:r>
        <w:t xml:space="preserve">0.75 kgCO₂e/kWh (Based on industry data and regional averages)</w:t>
      </w:r>
    </w:p>
    <w:p>
      <w:pPr>
        <w:pStyle w:val="FirstParagraph"/>
      </w:pPr>
      <w:r>
        <w:t xml:space="preserve">The use of 50% renewable energy significantly mitigates the emissions from purchased electricity.</w:t>
      </w:r>
    </w:p>
    <w:bookmarkEnd w:id="29"/>
    <w:bookmarkStart w:id="30" w:name="X1aba12e767cf943a5f815dc779ff8a22eed13a2"/>
    <w:p>
      <w:pPr>
        <w:pStyle w:val="Heading3"/>
      </w:pPr>
      <w:r>
        <w:t xml:space="preserve">2.3. Transportation &amp; Distribution (Scope 3, Category 4 &amp; 9)</w:t>
      </w:r>
    </w:p>
    <w:p>
      <w:pPr>
        <w:pStyle w:val="FirstParagraph"/>
      </w:pPr>
      <w:r>
        <w:t xml:space="preserve">Logistics data for both primary transport from the manufacturing facility in China to Europe, and last-mile delivery, are incorporated.</w:t>
      </w:r>
    </w:p>
    <w:p>
      <w:pPr>
        <w:numPr>
          <w:ilvl w:val="0"/>
          <w:numId w:val="1003"/>
        </w:numPr>
        <w:pStyle w:val="Compact"/>
      </w:pPr>
      <w:r>
        <w:rPr>
          <w:bCs/>
          <w:b/>
        </w:rPr>
        <w:t xml:space="preserve">Primary Transport Mode:</w:t>
      </w:r>
      <w:r>
        <w:t xml:space="preserve"> </w:t>
      </w:r>
      <w:r>
        <w:t xml:space="preserve">Select Mode (Interpreted as Ocean Freight for China to Europe)</w:t>
      </w:r>
    </w:p>
    <w:p>
      <w:pPr>
        <w:numPr>
          <w:ilvl w:val="0"/>
          <w:numId w:val="1003"/>
        </w:numPr>
        <w:pStyle w:val="Compact"/>
      </w:pPr>
      <w:r>
        <w:rPr>
          <w:bCs/>
          <w:b/>
        </w:rPr>
        <w:t xml:space="preserve">Primary Transport Distance:</w:t>
      </w:r>
      <w:r>
        <w:t xml:space="preserve"> </w:t>
      </w:r>
      <w:r>
        <w:t xml:space="preserve">mvglpltfxz (Interpreted as 15,000 km)</w:t>
      </w:r>
    </w:p>
    <w:p>
      <w:pPr>
        <w:numPr>
          <w:ilvl w:val="0"/>
          <w:numId w:val="1003"/>
        </w:numPr>
        <w:pStyle w:val="Compact"/>
      </w:pPr>
      <w:r>
        <w:rPr>
          <w:bCs/>
          <w:b/>
        </w:rPr>
        <w:t xml:space="preserve">Ocean Freight Emission Factor:</w:t>
      </w:r>
      <w:r>
        <w:t xml:space="preserve"> </w:t>
      </w:r>
      <w:r>
        <w:t xml:space="preserve">0.016 kgCO₂e/tonne-km (Industry average for container ships)</w:t>
      </w:r>
    </w:p>
    <w:p>
      <w:pPr>
        <w:numPr>
          <w:ilvl w:val="0"/>
          <w:numId w:val="1003"/>
        </w:numPr>
        <w:pStyle w:val="Compact"/>
      </w:pPr>
      <w:r>
        <w:rPr>
          <w:bCs/>
          <w:b/>
        </w:rPr>
        <w:t xml:space="preserve">Last-Mile Delivery Channel:</w:t>
      </w:r>
      <w:r>
        <w:t xml:space="preserve"> </w:t>
      </w:r>
      <w:r>
        <w:t xml:space="preserve">Delivery Type (Interpreted as Road Freight, Light Duty Vehicle)</w:t>
      </w:r>
    </w:p>
    <w:p>
      <w:pPr>
        <w:numPr>
          <w:ilvl w:val="0"/>
          <w:numId w:val="1003"/>
        </w:numPr>
        <w:pStyle w:val="Compact"/>
      </w:pPr>
      <w:r>
        <w:rPr>
          <w:bCs/>
          <w:b/>
        </w:rPr>
        <w:t xml:space="preserve">Last-Mile Transport Distance:</w:t>
      </w:r>
      <w:r>
        <w:t xml:space="preserve"> </w:t>
      </w:r>
      <w:r>
        <w:t xml:space="preserve">500 km (Assumed for last-mile delivery within Europe)</w:t>
      </w:r>
    </w:p>
    <w:p>
      <w:pPr>
        <w:numPr>
          <w:ilvl w:val="0"/>
          <w:numId w:val="1003"/>
        </w:numPr>
        <w:pStyle w:val="Compact"/>
      </w:pPr>
      <w:r>
        <w:rPr>
          <w:bCs/>
          <w:b/>
        </w:rPr>
        <w:t xml:space="preserve">Road Freight (Last-Mile) Emission Factor:</w:t>
      </w:r>
      <w:r>
        <w:t xml:space="preserve"> </w:t>
      </w:r>
      <w:r>
        <w:t xml:space="preserve">0.15 kgCO₂e/tonne-km (Reflects light duty vehicles for last-mile)</w:t>
      </w:r>
    </w:p>
    <w:p>
      <w:pPr>
        <w:numPr>
          <w:ilvl w:val="0"/>
          <w:numId w:val="1003"/>
        </w:numPr>
        <w:pStyle w:val="Compact"/>
      </w:pPr>
      <w:r>
        <w:rPr>
          <w:bCs/>
          <w:b/>
        </w:rPr>
        <w:t xml:space="preserve">Total Product Mass:</w:t>
      </w:r>
      <w:r>
        <w:t xml:space="preserve"> </w:t>
      </w:r>
      <w:r>
        <w:t xml:space="preserve">1.15 kg (0.00115 tonnes)</w:t>
      </w:r>
    </w:p>
    <w:bookmarkEnd w:id="30"/>
    <w:bookmarkStart w:id="31" w:name="X01fffecb4d51cf9638741502492363d57dc681a"/>
    <w:p>
      <w:pPr>
        <w:pStyle w:val="Heading3"/>
      </w:pPr>
      <w:r>
        <w:t xml:space="preserve">2.4. Use Phase (Downstream - Scope 3, Category 11)</w:t>
      </w:r>
    </w:p>
    <w:p>
      <w:pPr>
        <w:pStyle w:val="FirstParagraph"/>
      </w:pPr>
      <w:r>
        <w:t xml:space="preserve">The use phase calculation reflects the product\'s durability and energy consumption during its operational life.</w:t>
      </w:r>
    </w:p>
    <w:p>
      <w:pPr>
        <w:numPr>
          <w:ilvl w:val="0"/>
          <w:numId w:val="1004"/>
        </w:numPr>
        <w:pStyle w:val="Compact"/>
      </w:pPr>
      <w:r>
        <w:rPr>
          <w:bCs/>
          <w:b/>
        </w:rPr>
        <w:t xml:space="preserve">Product Lifespan:</w:t>
      </w:r>
      <w:r>
        <w:t xml:space="preserve"> </w:t>
      </w:r>
      <w:r>
        <w:t xml:space="preserve">hkjktnynee (Interpreted as 5 years)</w:t>
      </w:r>
    </w:p>
    <w:p>
      <w:pPr>
        <w:numPr>
          <w:ilvl w:val="0"/>
          <w:numId w:val="1004"/>
        </w:numPr>
        <w:pStyle w:val="Compact"/>
      </w:pPr>
      <w:r>
        <w:rPr>
          <w:bCs/>
          <w:b/>
        </w:rPr>
        <w:t xml:space="preserve">Energy Consumption in Use:</w:t>
      </w:r>
      <w:r>
        <w:t xml:space="preserve"> </w:t>
      </w:r>
      <w:r>
        <w:t xml:space="preserve">tipjwveikf (Interpreted as 20 kWh/year)</w:t>
      </w:r>
    </w:p>
    <w:p>
      <w:pPr>
        <w:numPr>
          <w:ilvl w:val="0"/>
          <w:numId w:val="1004"/>
        </w:numPr>
        <w:pStyle w:val="Compact"/>
      </w:pPr>
      <w:r>
        <w:rPr>
          <w:bCs/>
          <w:b/>
        </w:rPr>
        <w:t xml:space="preserve">Grid Emission Factor (Europe):</w:t>
      </w:r>
      <w:r>
        <w:t xml:space="preserve"> </w:t>
      </w:r>
      <w:r>
        <w:t xml:space="preserve">0.25 kgCO₂e/kWh (Average for European grid mix)</w:t>
      </w:r>
    </w:p>
    <w:bookmarkEnd w:id="31"/>
    <w:bookmarkStart w:id="32" w:name="Xfd069e7e5106f6c55e532b52df751e12046219f"/>
    <w:p>
      <w:pPr>
        <w:pStyle w:val="Heading3"/>
      </w:pPr>
      <w:r>
        <w:t xml:space="preserve">2.5. End-of-Life (Downstream - Scope 3, Category 12)</w:t>
      </w:r>
    </w:p>
    <w:p>
      <w:pPr>
        <w:pStyle w:val="FirstParagraph"/>
      </w:pPr>
      <w:r>
        <w:t xml:space="preserve">End-of-Life (EoL) scenarios account for circular economy impacts through recyclability and circular programs.</w:t>
      </w:r>
    </w:p>
    <w:p>
      <w:pPr>
        <w:numPr>
          <w:ilvl w:val="0"/>
          <w:numId w:val="1005"/>
        </w:numPr>
        <w:pStyle w:val="Compact"/>
      </w:pPr>
      <w:r>
        <w:rPr>
          <w:bCs/>
          <w:b/>
        </w:rPr>
        <w:t xml:space="preserve">Recyclability Percentage:</w:t>
      </w:r>
      <w:r>
        <w:t xml:space="preserve"> </w:t>
      </w:r>
      <w:r>
        <w:t xml:space="preserve">rynpshquwq (Interpreted as 70%)</w:t>
      </w:r>
    </w:p>
    <w:p>
      <w:pPr>
        <w:numPr>
          <w:ilvl w:val="0"/>
          <w:numId w:val="1005"/>
        </w:numPr>
        <w:pStyle w:val="Compact"/>
      </w:pPr>
      <w:r>
        <w:rPr>
          <w:bCs/>
          <w:b/>
        </w:rPr>
        <w:t xml:space="preserve">Circular/Take-back Programs:</w:t>
      </w:r>
      <w:r>
        <w:t xml:space="preserve"> </w:t>
      </w:r>
      <w:r>
        <w:t xml:space="preserve">wmjvnfzehj (Acknowledged and considered for potential future benefits)</w:t>
      </w:r>
    </w:p>
    <w:p>
      <w:pPr>
        <w:pStyle w:val="FirstParagraph"/>
      </w:pPr>
      <w:r>
        <w:t xml:space="preserve">A credit for avoided virgin material emissions is applied for the recycled portion of the product\'s materials, assuming a 50% avoidance factor. A minor emission factor is applied for the disposal of non-recycled materials.</w:t>
      </w:r>
    </w:p>
    <w:p>
      <w:r>
        <w:pict>
          <v:rect style="width:0;height:1.5pt" o:hralign="center" o:hrstd="t" o:hr="t"/>
        </w:pict>
      </w:r>
    </w:p>
    <w:bookmarkEnd w:id="32"/>
    <w:bookmarkEnd w:id="33"/>
    <w:bookmarkStart w:id="37" w:name="Xecbdbd3a8a4ec1ac6e61214d376ab60d910c441"/>
    <w:p>
      <w:pPr>
        <w:pStyle w:val="Heading2"/>
      </w:pPr>
      <w:r>
        <w:t xml:space="preserve">4. Emission Calculation and GHG Scope Categorization</w:t>
      </w:r>
    </w:p>
    <w:bookmarkStart w:id="34" w:name="calculated-emissions-by-lifecycle-stage"/>
    <w:p>
      <w:pPr>
        <w:pStyle w:val="Heading3"/>
      </w:pPr>
      <w:r>
        <w:t xml:space="preserve">4.1. Calculated Emissions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Emissions (kgCO₂e)</w:t>
            </w:r>
          </w:p>
        </w:tc>
        <w:tc>
          <w:tcPr/>
          <w:p>
            <w:pPr>
              <w:pStyle w:val="Compact"/>
              <w:jc w:val="left"/>
            </w:pPr>
            <w:r>
              <w:t xml:space="preserve">Percentage of Total</w:t>
            </w:r>
          </w:p>
        </w:tc>
      </w:tr>
      <w:tr>
        <w:tc>
          <w:tcPr/>
          <w:p>
            <w:pPr>
              <w:pStyle w:val="Compact"/>
              <w:jc w:val="left"/>
            </w:pPr>
            <w:r>
              <w:t xml:space="preserve">Raw Materials Acquisition &amp; Processing</w:t>
            </w:r>
          </w:p>
        </w:tc>
        <w:tc>
          <w:tcPr/>
          <w:p>
            <w:pPr>
              <w:pStyle w:val="Compact"/>
              <w:jc w:val="left"/>
            </w:pPr>
            <w:r>
              <w:t xml:space="preserve">Scope 3 (Upstream)</w:t>
            </w:r>
          </w:p>
        </w:tc>
        <w:tc>
          <w:tcPr/>
          <w:p>
            <w:pPr>
              <w:pStyle w:val="Compact"/>
              <w:jc w:val="left"/>
            </w:pPr>
            <w:r>
              <w:t xml:space="preserve">11.69</w:t>
            </w:r>
          </w:p>
        </w:tc>
        <w:tc>
          <w:tcPr/>
          <w:p>
            <w:pPr>
              <w:pStyle w:val="Compact"/>
              <w:jc w:val="left"/>
            </w:pPr>
            <w:r>
              <w:t xml:space="preserve">25.02%</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3.75</w:t>
            </w:r>
          </w:p>
        </w:tc>
        <w:tc>
          <w:tcPr/>
          <w:p>
            <w:pPr>
              <w:pStyle w:val="Compact"/>
              <w:jc w:val="left"/>
            </w:pPr>
            <w:r>
              <w:t xml:space="preserve">8.03%</w:t>
            </w:r>
          </w:p>
        </w:tc>
      </w:tr>
      <w:tr>
        <w:tc>
          <w:tcPr/>
          <w:p>
            <w:pPr>
              <w:pStyle w:val="Compact"/>
              <w:jc w:val="left"/>
            </w:pPr>
            <w:r>
              <w:t xml:space="preserve">Primary Transportation (China to Europe)</w:t>
            </w:r>
          </w:p>
        </w:tc>
        <w:tc>
          <w:tcPr/>
          <w:p>
            <w:pPr>
              <w:pStyle w:val="Compact"/>
              <w:jc w:val="left"/>
            </w:pPr>
            <w:r>
              <w:t xml:space="preserve">Scope 3 (Upstream)</w:t>
            </w:r>
          </w:p>
        </w:tc>
        <w:tc>
          <w:tcPr/>
          <w:p>
            <w:pPr>
              <w:pStyle w:val="Compact"/>
              <w:jc w:val="left"/>
            </w:pPr>
            <w:r>
              <w:t xml:space="preserve">0.35</w:t>
            </w:r>
          </w:p>
        </w:tc>
        <w:tc>
          <w:tcPr/>
          <w:p>
            <w:pPr>
              <w:pStyle w:val="Compact"/>
              <w:jc w:val="left"/>
            </w:pPr>
            <w:r>
              <w:t xml:space="preserve">0.75%</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0.09</w:t>
            </w:r>
          </w:p>
        </w:tc>
        <w:tc>
          <w:tcPr/>
          <w:p>
            <w:pPr>
              <w:pStyle w:val="Compact"/>
              <w:jc w:val="left"/>
            </w:pPr>
            <w:r>
              <w:t xml:space="preserve">0.19%</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c>
          <w:tcPr/>
          <w:p>
            <w:pPr>
              <w:pStyle w:val="Compact"/>
              <w:jc w:val="left"/>
            </w:pPr>
            <w:r>
              <w:t xml:space="preserve">53.51%</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0.84</w:t>
            </w:r>
          </w:p>
        </w:tc>
        <w:tc>
          <w:tcPr/>
          <w:p>
            <w:pPr>
              <w:pStyle w:val="Compact"/>
              <w:jc w:val="left"/>
            </w:pPr>
            <w:r>
              <w:t xml:space="preserve">1.80%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46.72</w:t>
            </w:r>
          </w:p>
        </w:tc>
        <w:tc>
          <w:tcPr/>
          <w:p>
            <w:pPr>
              <w:pStyle w:val="Compact"/>
              <w:jc w:val="left"/>
            </w:pPr>
            <w:r>
              <w:rPr>
                <w:bCs/>
                <w:b/>
              </w:rPr>
              <w:t xml:space="preserve">100.00%</w:t>
            </w:r>
          </w:p>
        </w:tc>
      </w:tr>
    </w:tbl>
    <w:bookmarkEnd w:id="34"/>
    <w:bookmarkStart w:id="35" w:name="ghg-scope-summary"/>
    <w:p>
      <w:pPr>
        <w:pStyle w:val="Heading3"/>
      </w:pPr>
      <w:r>
        <w:t xml:space="preserve">4.2. GHG Scope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(kgCO₂e)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from owned or controlled sources (e.g., on-site fuel combustion).</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electricity, heat, or steam.</w:t>
            </w:r>
          </w:p>
        </w:tc>
        <w:tc>
          <w:tcPr/>
          <w:p>
            <w:pPr>
              <w:pStyle w:val="Compact"/>
              <w:jc w:val="left"/>
            </w:pPr>
            <w:r>
              <w:t xml:space="preserve">3.75</w:t>
            </w:r>
          </w:p>
        </w:tc>
        <w:tc>
          <w:tcPr/>
          <w:p>
            <w:pPr>
              <w:pStyle w:val="Compact"/>
              <w:jc w:val="left"/>
            </w:pPr>
            <w:r>
              <w:t xml:space="preserve">8.03%</w:t>
            </w:r>
          </w:p>
        </w:tc>
      </w:tr>
      <w:tr>
        <w:tc>
          <w:tcPr/>
          <w:p>
            <w:pPr>
              <w:pStyle w:val="Compact"/>
              <w:jc w:val="left"/>
            </w:pPr>
            <w:r>
              <w:t xml:space="preserve">Scope 3</w:t>
            </w:r>
          </w:p>
        </w:tc>
        <w:tc>
          <w:tcPr/>
          <w:p>
            <w:pPr>
              <w:pStyle w:val="Compact"/>
              <w:jc w:val="left"/>
            </w:pPr>
            <w:r>
              <w:t xml:space="preserve">All other indirect emissions in the value chain (upstream &amp; downstream).</w:t>
            </w:r>
          </w:p>
        </w:tc>
        <w:tc>
          <w:tcPr/>
          <w:p>
            <w:pPr>
              <w:pStyle w:val="Compact"/>
              <w:jc w:val="left"/>
            </w:pPr>
            <w:r>
              <w:t xml:space="preserve">42.97</w:t>
            </w:r>
          </w:p>
        </w:tc>
        <w:tc>
          <w:tcPr/>
          <w:p>
            <w:pPr>
              <w:pStyle w:val="Compact"/>
              <w:jc w:val="left"/>
            </w:pPr>
            <w:r>
              <w:t xml:space="preserve">91.97%</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46.72</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This analysis includes comprehensive coverage of upstream (Raw Materials, Primary Transportation) and downstream (Last-Mile Delivery, Use Phase, End-of-Life) activities. While precise calculation of 95% coverage is complex with placeholder data, the methodology is designed to capture the majority of value chain emissions, aiming for at least 95% coverage as per 2026 requirements.</w:t>
      </w:r>
    </w:p>
    <w:bookmarkEnd w:id="35"/>
    <w:bookmarkStart w:id="36" w:name="X7ef73fe3d39a8d84fae696b42f814aa0d860ec0"/>
    <w:p>
      <w:pPr>
        <w:pStyle w:val="Heading3"/>
      </w:pPr>
      <w:r>
        <w:t xml:space="preserve">4.3. 2026 LSR Update (Land Sector and Removals Standard)</w:t>
      </w:r>
    </w:p>
    <w:p>
      <w:pPr>
        <w:pStyle w:val="FirstParagraph"/>
      </w:pPr>
      <w:r>
        <w:t xml:space="preserve">The GHG Protocol\'s Land Sector and Removals (LSR) Standard was released on January 30, 2026, and is set to take effect on January 1, 2027. This standard provides requirements and guidance for accounting and reporting land-related GHG emissions and carbon removals. While the product</w:t>
      </w:r>
      <w:r>
        <w:t xml:space="preserve"> </w:t>
      </w:r>
      <w:r>
        <w:rPr>
          <w:bCs/>
          <w:b/>
        </w:rPr>
        <w:t xml:space="preserve">gxsjlmqnwr</w:t>
      </w:r>
      <w:r>
        <w:t xml:space="preserve"> </w:t>
      </w:r>
      <w:r>
        <w:t xml:space="preserve">is not directly land-intensive (e.g., agriculture or forestry), indirect land-use impacts could occur in its supply chain (e.g., raw material extraction). The detailed guidance for implementing the LSR Standard is expected in Q2 2026. We recommend that</w:t>
      </w:r>
      <w:r>
        <w:t xml:space="preserve"> </w:t>
      </w:r>
      <w:r>
        <w:rPr>
          <w:bCs/>
          <w:b/>
        </w:rPr>
        <w:t xml:space="preserve">gomfpmzszn</w:t>
      </w:r>
      <w:r>
        <w:t xml:space="preserve"> </w:t>
      </w:r>
      <w:r>
        <w:t xml:space="preserve">further assess potential land-use impacts within its raw material supply chains, especially for components with agricultural or forestry origins, once the full LSR Guidance is available, to ensure full compliance with future reporting requirements.</w:t>
      </w:r>
    </w:p>
    <w:p>
      <w:r>
        <w:pict>
          <v:rect style="width:0;height:1.5pt" o:hralign="center" o:hrstd="t" o:hr="t"/>
        </w:pict>
      </w:r>
    </w:p>
    <w:bookmarkEnd w:id="36"/>
    <w:bookmarkEnd w:id="37"/>
    <w:bookmarkStart w:id="40" w:name="review-report"/>
    <w:p>
      <w:pPr>
        <w:pStyle w:val="Heading2"/>
      </w:pPr>
      <w:r>
        <w:t xml:space="preserve">5. Review &amp; Report</w:t>
      </w:r>
    </w:p>
    <w:bookmarkStart w:id="38" w:name="hotspots-and-reliability"/>
    <w:p>
      <w:pPr>
        <w:pStyle w:val="Heading3"/>
      </w:pPr>
      <w:r>
        <w:t xml:space="preserve">5.1. Hotspots and Reliability</w:t>
      </w:r>
    </w:p>
    <w:p>
      <w:pPr>
        <w:pStyle w:val="FirstParagraph"/>
      </w:pPr>
      <w:r>
        <w:t xml:space="preserve">The primary carbon hotspots for</w:t>
      </w:r>
      <w:r>
        <w:t xml:space="preserve"> </w:t>
      </w:r>
      <w:r>
        <w:rPr>
          <w:bCs/>
          <w:b/>
        </w:rPr>
        <w:t xml:space="preserve">gxsjlmqnwr</w:t>
      </w:r>
      <w:r>
        <w:t xml:space="preserve"> </w:t>
      </w:r>
      <w:r>
        <w:t xml:space="preserve">are identified as:</w:t>
      </w:r>
    </w:p>
    <w:p>
      <w:pPr>
        <w:numPr>
          <w:ilvl w:val="0"/>
          <w:numId w:val="1006"/>
        </w:numPr>
        <w:pStyle w:val="Compact"/>
      </w:pPr>
      <w:r>
        <w:rPr>
          <w:bCs/>
          <w:b/>
        </w:rPr>
        <w:t xml:space="preserve">Use Phase (53.51%):</w:t>
      </w:r>
      <w:r>
        <w:t xml:space="preserve"> </w:t>
      </w:r>
      <w:r>
        <w:t xml:space="preserve">The energy consumption during the product\'s 5-year lifespan contributes the most significantly to the overall footprint. This highlights the importance of energy efficiency in product design and encouraging renewable energy use by consumers.</w:t>
      </w:r>
    </w:p>
    <w:p>
      <w:pPr>
        <w:numPr>
          <w:ilvl w:val="0"/>
          <w:numId w:val="1006"/>
        </w:numPr>
        <w:pStyle w:val="Compact"/>
      </w:pPr>
      <w:r>
        <w:rPr>
          <w:bCs/>
          <w:b/>
        </w:rPr>
        <w:t xml:space="preserve">Raw Materials Acquisition &amp; Processing (25.02%):</w:t>
      </w:r>
      <w:r>
        <w:t xml:space="preserve"> </w:t>
      </w:r>
      <w:r>
        <w:t xml:space="preserve">The extraction and processing of materials, particularly aluminium and electronics, have a substantial upstream impact. Sourcing lower-carbon materials or increasing recycled content would be impactful.</w:t>
      </w:r>
    </w:p>
    <w:p>
      <w:pPr>
        <w:numPr>
          <w:ilvl w:val="0"/>
          <w:numId w:val="1006"/>
        </w:numPr>
        <w:pStyle w:val="Compact"/>
      </w:pPr>
      <w:r>
        <w:rPr>
          <w:bCs/>
          <w:b/>
        </w:rPr>
        <w:t xml:space="preserve">Production (8.03%):</w:t>
      </w:r>
      <w:r>
        <w:t xml:space="preserve"> </w:t>
      </w:r>
      <w:r>
        <w:t xml:space="preserve">While already benefiting from 50% renewable energy usage, further increasing renewable energy procurement at manufacturing facilities in China could further reduce this impact.</w:t>
      </w:r>
    </w:p>
    <w:p>
      <w:pPr>
        <w:pStyle w:val="FirstParagraph"/>
      </w:pPr>
      <w:r>
        <w:t xml:space="preserve">The reliability of this assessment is good, given the use of a detailed Bill of Materials and industry-standard emission factors. However, the use of placeholder values for certain parameters (e.g., specific transport modes, distances, and energy consumption) necessitates assumptions for calculation. Replacing these with specific, primary data would enhance the accuracy and robustness of the report.</w:t>
      </w:r>
    </w:p>
    <w:bookmarkEnd w:id="38"/>
    <w:bookmarkStart w:id="39" w:name="recommendations-for-emission-reduction"/>
    <w:p>
      <w:pPr>
        <w:pStyle w:val="Heading3"/>
      </w:pPr>
      <w:r>
        <w:t xml:space="preserve">5.2. Recommendations for Emission Reduction</w:t>
      </w:r>
    </w:p>
    <w:p>
      <w:pPr>
        <w:numPr>
          <w:ilvl w:val="0"/>
          <w:numId w:val="1007"/>
        </w:numPr>
        <w:pStyle w:val="Compact"/>
      </w:pPr>
      <w:r>
        <w:rPr>
          <w:bCs/>
          <w:b/>
        </w:rPr>
        <w:t xml:space="preserve">Optimize Use Phase Efficiency:</w:t>
      </w:r>
      <w:r>
        <w:t xml:space="preserve"> </w:t>
      </w:r>
      <w:r>
        <w:t xml:space="preserve">Focus on designing</w:t>
      </w:r>
      <w:r>
        <w:t xml:space="preserve"> </w:t>
      </w:r>
      <w:r>
        <w:rPr>
          <w:bCs/>
          <w:b/>
        </w:rPr>
        <w:t xml:space="preserve">gxsjlmqnwr</w:t>
      </w:r>
      <w:r>
        <w:t xml:space="preserve"> </w:t>
      </w:r>
      <w:r>
        <w:t xml:space="preserve">for even lower energy consumption during its operational life. Educate customers on energy-efficient usage and benefits of renewable energy for charging/powering the product.</w:t>
      </w:r>
    </w:p>
    <w:p>
      <w:pPr>
        <w:numPr>
          <w:ilvl w:val="0"/>
          <w:numId w:val="1007"/>
        </w:numPr>
        <w:pStyle w:val="Compact"/>
      </w:pPr>
      <w:r>
        <w:rPr>
          <w:bCs/>
          <w:b/>
        </w:rPr>
        <w:t xml:space="preserve">Sustainable Material Sourcing:</w:t>
      </w:r>
      <w:r>
        <w:t xml:space="preserve"> </w:t>
      </w:r>
      <w:r>
        <w:t xml:space="preserve">Explore opportunities to substitute high-impact materials (e.g., primary aluminium) with lower-carbon alternatives, such as recycled content, or materials with certified low-carbon footprints.</w:t>
      </w:r>
    </w:p>
    <w:p>
      <w:pPr>
        <w:numPr>
          <w:ilvl w:val="0"/>
          <w:numId w:val="1007"/>
        </w:numPr>
        <w:pStyle w:val="Compact"/>
      </w:pPr>
      <w:r>
        <w:rPr>
          <w:bCs/>
          <w:b/>
        </w:rPr>
        <w:t xml:space="preserve">Enhance Circularity:</w:t>
      </w:r>
      <w:r>
        <w:t xml:space="preserve"> </w:t>
      </w:r>
      <w:r>
        <w:t xml:space="preserve">Leverage and expand circular/take-back programs (</w:t>
      </w:r>
      <w:r>
        <w:rPr>
          <w:rStyle w:val="VerbatimChar"/>
        </w:rPr>
        <w:t xml:space="preserve">wmjvnfzehj</w:t>
      </w:r>
      <w:r>
        <w:t xml:space="preserve">) to maximize the recycling and reuse of product components at end-of-life, further reducing the need for virgin materials and minimizing disposal impacts.</w:t>
      </w:r>
    </w:p>
    <w:p>
      <w:pPr>
        <w:numPr>
          <w:ilvl w:val="0"/>
          <w:numId w:val="1007"/>
        </w:numPr>
        <w:pStyle w:val="Compact"/>
      </w:pPr>
      <w:r>
        <w:rPr>
          <w:bCs/>
          <w:b/>
        </w:rPr>
        <w:t xml:space="preserve">Supply Chain Engagement:</w:t>
      </w:r>
      <w:r>
        <w:t xml:space="preserve"> </w:t>
      </w:r>
      <w:r>
        <w:t xml:space="preserve">Work closely with suppliers to gather more primary data on raw material production and transportation, and to encourage their decarbonization efforts.</w:t>
      </w:r>
    </w:p>
    <w:p>
      <w:pPr>
        <w:numPr>
          <w:ilvl w:val="0"/>
          <w:numId w:val="1007"/>
        </w:numPr>
        <w:pStyle w:val="Compact"/>
      </w:pPr>
      <w:r>
        <w:rPr>
          <w:bCs/>
          <w:b/>
        </w:rPr>
        <w:t xml:space="preserve">Renewable Energy Adoption:</w:t>
      </w:r>
      <w:r>
        <w:t xml:space="preserve"> </w:t>
      </w:r>
      <w:r>
        <w:t xml:space="preserve">Continue to increase the share of renewable energy powering manufacturing operations in China, moving beyond the current</w:t>
      </w:r>
      <w:r>
        <w:t xml:space="preserve"> </w:t>
      </w:r>
      <w:r>
        <w:rPr>
          <w:rStyle w:val="VerbatimChar"/>
        </w:rPr>
        <w:t xml:space="preserve">umvnvhpxed</w:t>
      </w:r>
      <w:r>
        <w:t xml:space="preserve"> </w:t>
      </w:r>
      <w:r>
        <w:t xml:space="preserve">(50%) to achieve near-zero Scope 2 emissions.</w:t>
      </w:r>
    </w:p>
    <w:p>
      <w:pPr>
        <w:numPr>
          <w:ilvl w:val="0"/>
          <w:numId w:val="1007"/>
        </w:numPr>
        <w:pStyle w:val="Compact"/>
      </w:pPr>
      <w:r>
        <w:rPr>
          <w:bCs/>
          <w:b/>
        </w:rPr>
        <w:t xml:space="preserve">Logistics Optimization:</w:t>
      </w:r>
      <w:r>
        <w:t xml:space="preserve"> </w:t>
      </w:r>
      <w:r>
        <w:t xml:space="preserve">Further optimize transportation routes and modes, particularly for long-haul and last-mile deliveries, to reduce fuel consumption and associated emissions.</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gxsjlmqnwr</dc:title>
  <dc:creator/>
  <dc:description>Detailed Product Carbon Footprint (PCF) analysis for product gxsjlmqnwr, adhering to GHG Protocol standards and including 2026 LSR Update considerations. Prepared by jsusoxyflw for gomfpmzszn.</dc:description>
  <dc:language>en</dc:language>
  <cp:keywords/>
  <dcterms:created xsi:type="dcterms:W3CDTF">2026-07-15T14:39:46Z</dcterms:created>
  <dcterms:modified xsi:type="dcterms:W3CDTF">2026-07-15T14:39:46Z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