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gxlwgsyzvl</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Product: gxlwgsyzvl</w:t>
      </w:r>
    </w:p>
    <w:p>
      <w:pPr>
        <w:pStyle w:val="BodyText"/>
      </w:pPr>
      <w:r>
        <w:t xml:space="preserve">Company Name: tjzoyvgiff</w:t>
      </w:r>
    </w:p>
    <w:p>
      <w:pPr>
        <w:pStyle w:val="BodyText"/>
      </w:pPr>
      <w:r>
        <w:t xml:space="preserve">Senior Sustainability Consultant: kvqjimdejo</w:t>
      </w:r>
    </w:p>
    <w:p>
      <w:pPr>
        <w:pStyle w:val="BodyText"/>
      </w:pPr>
      <w:r>
        <w:t xml:space="preserve">Protocol Data (Accounting Standard): GHG Protocol</w:t>
      </w:r>
    </w:p>
    <w:p>
      <w:pPr>
        <w:pStyle w:val="BodyText"/>
      </w:pPr>
      <w:r>
        <w:t xml:space="preserve">Disclaimer: This report is generated based on available data and industry standards. While every effort has been made to ensure accuracy, actual emissions may vary based on real-world conditions and further granular data.</w:t>
      </w:r>
    </w:p>
    <w:bookmarkEnd w:id="20"/>
    <w:bookmarkStart w:id="44" w:name="Xfa1869df3081cbcde652f358bb03e1d927ed4b2"/>
    <w:p>
      <w:pPr>
        <w:pStyle w:val="Heading1"/>
      </w:pPr>
      <w:r>
        <w:t xml:space="preserve">Product Carbon Footprint Analysis: gxlwgsyzvl</w:t>
      </w:r>
    </w:p>
    <w:p>
      <w:pPr>
        <w:pStyle w:val="FirstParagraph"/>
      </w:pPr>
      <w:r>
        <w:rPr>
          <w:bCs/>
          <w:b/>
        </w:rPr>
        <w:t xml:space="preserve">Generated Date:</w:t>
      </w:r>
      <w:r>
        <w:t xml:space="preserve"> </w:t>
      </w:r>
      <w:r>
        <w:t xml:space="preserve">May 27,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`gxlwgsyzvl`, manufactured by `tjzoyvgiff`. The analysis, conducted by `kvqjimdejo`, Senior Sustainability Consultant, adheres strictly to the GHG Protocol accounting standard, incorporating the 2026 Land Sector and Removals (LSR) update and ensuring at least 95% Scope 3 coverage. The PCF quantifies greenhouse gas emissions across the product\'s lifecycle, from material extraction and manufacturing to the use phase and end-of-life. Key hotspots identified include the product\'s energy consumption during its use phase, followed by material acquisition.</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initial phase of the PCF analysis establishes the framework for emission quantification.</w:t>
      </w:r>
    </w:p>
    <w:p>
      <w:pPr>
        <w:numPr>
          <w:ilvl w:val="0"/>
          <w:numId w:val="1001"/>
        </w:numPr>
        <w:pStyle w:val="Compact"/>
      </w:pPr>
      <w:r>
        <w:rPr>
          <w:bCs/>
          <w:b/>
        </w:rPr>
        <w:t xml:space="preserve">Functional Unit:</w:t>
      </w:r>
      <w:r>
        <w:t xml:space="preserve"> </w:t>
      </w:r>
      <w:r>
        <w:t xml:space="preserve">The analysis is based on a functional unit of 1.0 unit of `gxlwgsyzvl`. This serves as the reference flow to which all input and output data are normalized.</w:t>
      </w:r>
    </w:p>
    <w:p>
      <w:pPr>
        <w:numPr>
          <w:ilvl w:val="0"/>
          <w:numId w:val="1001"/>
        </w:numPr>
        <w:pStyle w:val="Compact"/>
      </w:pPr>
      <w:r>
        <w:rPr>
          <w:bCs/>
          <w:b/>
        </w:rPr>
        <w:t xml:space="preserve">System Boundary:</w:t>
      </w:r>
      <w:r>
        <w:t xml:space="preserve"> </w:t>
      </w:r>
      <w:r>
        <w:t xml:space="preserve">The defined system boundary for this PCF is \'factory_gate\'. This includes all upstream activities such as raw material extraction, component manufacturing, and inbound transportation to the manufacturing facility in China, as well as the manufacturing processes themselves. Downstream activities like the product\'s use phase and end-of-life are also included as per the project requirements, falling under Scope 3.</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component sourcing and downstream distribution market)</w:t>
      </w:r>
    </w:p>
    <w:p>
      <w:pPr>
        <w:numPr>
          <w:ilvl w:val="0"/>
          <w:numId w:val="1001"/>
        </w:numPr>
        <w:pStyle w:val="Compact"/>
      </w:pPr>
      <w:r>
        <w:rPr>
          <w:bCs/>
          <w:b/>
        </w:rPr>
        <w:t xml:space="preserve">Accounting Standard:</w:t>
      </w:r>
      <w:r>
        <w:t xml:space="preserve"> </w:t>
      </w:r>
      <w:r>
        <w:t xml:space="preserve">The methodology strictly adheres to the GHG Protocol, categorizing emissions into Scope 1 (direct emissions from owned or controlled sources), Scope 2 (indirect emissions from the generation of purchased energy), and Scope 3 (all other indirect emissions that occur in a company\'s value chain).</w:t>
      </w:r>
    </w:p>
    <w:p>
      <w:pPr>
        <w:numPr>
          <w:ilvl w:val="0"/>
          <w:numId w:val="1001"/>
        </w:numPr>
        <w:pStyle w:val="Compact"/>
      </w:pPr>
      <w:r>
        <w:rPr>
          <w:bCs/>
          <w:b/>
        </w:rPr>
        <w:t xml:space="preserve">Allocation:</w:t>
      </w:r>
      <w:r>
        <w:t xml:space="preserve"> </w:t>
      </w:r>
      <w:r>
        <w:t xml:space="preserve">Environmental burdens are allocated to the functional unit based on mass and economic allocation where co-products or by-products are present. For waste and recycling, a circular economy approach is considered, with credits for avoided virgin material production where applicable.</w:t>
      </w:r>
    </w:p>
    <w:p>
      <w:r>
        <w:pict>
          <v:rect style="width:0;height:1.5pt" o:hralign="center" o:hrstd="t" o:hr="t"/>
        </w:pict>
      </w:r>
    </w:p>
    <w:bookmarkEnd w:id="22"/>
    <w:bookmarkStart w:id="28" w:name="map-lifecycle-lci-inventory-stages"/>
    <w:p>
      <w:pPr>
        <w:pStyle w:val="Heading2"/>
      </w:pPr>
      <w:r>
        <w:t xml:space="preserve">2. Map Lifecycle (LCI Inventory Stages)</w:t>
      </w:r>
    </w:p>
    <w:p>
      <w:pPr>
        <w:pStyle w:val="FirstParagraph"/>
      </w:pPr>
      <w:r>
        <w:t xml:space="preserve">This stage details the various life cycle stages and the associated inventory data required for the analysis.</w:t>
      </w:r>
    </w:p>
    <w:bookmarkStart w:id="23" w:name="Xc65a9c976eff9f4b528d32c727237871f3445a7"/>
    <w:p>
      <w:pPr>
        <w:pStyle w:val="Heading3"/>
      </w:pPr>
      <w:r>
        <w:t xml:space="preserve">2.1. Material Acquisition &amp; Pre-processing (Scope 3 - Category 1: Purchased Goods and Services)</w:t>
      </w:r>
    </w:p>
    <w:p>
      <w:pPr>
        <w:pStyle w:val="FirstParagraph"/>
      </w:pPr>
      <w:r>
        <w:t xml:space="preserve">The detailed Bill of Materials (BOM) for `gxlwgsyzvl` provides high-accuracy data for material impact calculation. The following materials and their associated carbon footprints were considered: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8.5</w:t>
            </w:r>
          </w:p>
        </w:tc>
        <w:tc>
          <w:tcPr/>
          <w:p>
            <w:pPr>
              <w:pStyle w:val="Compact"/>
              <w:jc w:val="left"/>
            </w:pPr>
            <w:r>
              <w:t xml:space="preserve">4.25</w:t>
            </w:r>
          </w:p>
        </w:tc>
      </w:tr>
      <w:tr>
        <w:tc>
          <w:tcPr/>
          <w:p>
            <w:pPr>
              <w:pStyle w:val="Compact"/>
              <w:jc w:val="left"/>
            </w:pPr>
            <w:r>
              <w:t xml:space="preserve">M002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0.06</w:t>
            </w:r>
          </w:p>
        </w:tc>
      </w:tr>
      <w:tr>
        <w:tc>
          <w:tcPr>
            <w:gridSpan w:val="7"/>
          </w:tcPr>
          <w:p>
            <w:pPr>
              <w:pStyle w:val="Compact"/>
              <w:jc w:val="right"/>
            </w:pPr>
            <w:r>
              <w:rPr>
                <w:bCs/>
                <w:b/>
              </w:rPr>
              <w:t xml:space="preserve">Subtotal Material Carbon:</w:t>
            </w:r>
          </w:p>
        </w:tc>
        <w:tc>
          <w:tcPr/>
          <w:p>
            <w:pPr>
              <w:pStyle w:val="Compact"/>
              <w:jc w:val="left"/>
            </w:pPr>
            <w:r>
              <w:rPr>
                <w:bCs/>
                <w:b/>
              </w:rPr>
              <w:t xml:space="preserve">8.11</w:t>
            </w:r>
          </w:p>
        </w:tc>
      </w:tr>
    </w:tbl>
    <w:bookmarkEnd w:id="23"/>
    <w:bookmarkStart w:id="24" w:name="X8a60414730b56c5cde3a22101eb35ad4775e0e6"/>
    <w:p>
      <w:pPr>
        <w:pStyle w:val="Heading3"/>
      </w:pPr>
      <w:r>
        <w:t xml:space="preserve">2.2. Production Phase (Manufacturing - Scope 1 &amp; 2)</w:t>
      </w:r>
    </w:p>
    <w:p>
      <w:pPr>
        <w:pStyle w:val="FirstParagraph"/>
      </w:pPr>
      <w:r>
        <w:t xml:space="preserve">The manufacturing of `gxlwgsyzvl` takes place in China. Energy consumption and its source are critical for this phase.</w:t>
      </w:r>
    </w:p>
    <w:p>
      <w:pPr>
        <w:numPr>
          <w:ilvl w:val="0"/>
          <w:numId w:val="1003"/>
        </w:numPr>
        <w:pStyle w:val="Compact"/>
      </w:pPr>
      <w:r>
        <w:rPr>
          <w:bCs/>
          <w:b/>
        </w:rPr>
        <w:t xml:space="preserve">Energy Intensity (kWh/unit):</w:t>
      </w:r>
      <w:r>
        <w:t xml:space="preserve"> </w:t>
      </w:r>
      <w:r>
        <w:t xml:space="preserve">15 kWh/unit</w:t>
      </w:r>
    </w:p>
    <w:p>
      <w:pPr>
        <w:numPr>
          <w:ilvl w:val="0"/>
          <w:numId w:val="1003"/>
        </w:numPr>
        <w:pStyle w:val="Compact"/>
      </w:pPr>
      <w:r>
        <w:rPr>
          <w:bCs/>
          <w:b/>
        </w:rPr>
        <w:t xml:space="preserve">Renewable Energy Usage:</w:t>
      </w:r>
      <w:r>
        <w:t xml:space="preserve"> </w:t>
      </w:r>
      <w:r>
        <w:t xml:space="preserve">75%</w:t>
      </w:r>
    </w:p>
    <w:p>
      <w:pPr>
        <w:numPr>
          <w:ilvl w:val="0"/>
          <w:numId w:val="1003"/>
        </w:numPr>
        <w:pStyle w:val="Compact"/>
      </w:pPr>
      <w:r>
        <w:rPr>
          <w:bCs/>
          <w:b/>
        </w:rPr>
        <w:t xml:space="preserve">Energy Mix for Non-Renewable Portion:</w:t>
      </w:r>
      <w:r>
        <w:t xml:space="preserve"> </w:t>
      </w:r>
      <w:r>
        <w:t xml:space="preserve">China grid mix (assumed 0.6 kgCO2e/kWh)</w:t>
      </w:r>
    </w:p>
    <w:p>
      <w:pPr>
        <w:numPr>
          <w:ilvl w:val="0"/>
          <w:numId w:val="1003"/>
        </w:numPr>
        <w:pStyle w:val="Compact"/>
      </w:pPr>
      <w:r>
        <w:rPr>
          <w:bCs/>
          <w:b/>
        </w:rPr>
        <w:t xml:space="preserve">Energy Mix for Renewable Portion:</w:t>
      </w:r>
      <w:r>
        <w:t xml:space="preserve"> </w:t>
      </w:r>
      <w:r>
        <w:t xml:space="preserve">Residual emissions for renewable sources (assumed 0.02 kgCO2e/kWh)</w:t>
      </w:r>
    </w:p>
    <w:bookmarkEnd w:id="24"/>
    <w:bookmarkStart w:id="25" w:name="transport-scope-3---category-4-9"/>
    <w:p>
      <w:pPr>
        <w:pStyle w:val="Heading3"/>
      </w:pPr>
      <w:r>
        <w:t xml:space="preserve">2.3. Transport (Scope 3 - Category 4 &amp; 9)</w:t>
      </w:r>
    </w:p>
    <w:p>
      <w:pPr>
        <w:pStyle w:val="FirstParagraph"/>
      </w:pPr>
      <w:r>
        <w:t xml:space="preserve">Logistics data for both inbound components and outbound finished product distribution are considered.</w:t>
      </w:r>
    </w:p>
    <w:p>
      <w:pPr>
        <w:numPr>
          <w:ilvl w:val="0"/>
          <w:numId w:val="1004"/>
        </w:numPr>
        <w:pStyle w:val="Compact"/>
      </w:pPr>
      <w:r>
        <w:rPr>
          <w:bCs/>
          <w:b/>
        </w:rPr>
        <w:t xml:space="preserve">Inbound Transport (Components to China Factory):</w:t>
      </w:r>
    </w:p>
    <w:p>
      <w:pPr>
        <w:numPr>
          <w:ilvl w:val="1"/>
          <w:numId w:val="1005"/>
        </w:numPr>
        <w:pStyle w:val="Compact"/>
      </w:pPr>
      <w:r>
        <w:rPr>
          <w:bCs/>
          <w:b/>
        </w:rPr>
        <w:t xml:space="preserve">Transport Mode:</w:t>
      </w:r>
      <w:r>
        <w:t xml:space="preserve"> </w:t>
      </w:r>
      <w:r>
        <w:t xml:space="preserve">Road Freight (HGV)</w:t>
      </w:r>
    </w:p>
    <w:p>
      <w:pPr>
        <w:numPr>
          <w:ilvl w:val="1"/>
          <w:numId w:val="1005"/>
        </w:numPr>
        <w:pStyle w:val="Compact"/>
      </w:pPr>
      <w:r>
        <w:rPr>
          <w:bCs/>
          <w:b/>
        </w:rPr>
        <w:t xml:space="preserve">Transport Distance:</w:t>
      </w:r>
      <w:r>
        <w:t xml:space="preserve"> </w:t>
      </w:r>
      <w:r>
        <w:t xml:space="preserve">3,000 km (representative of component transport within supply chain, e.g., from European suppliers)</w:t>
      </w:r>
    </w:p>
    <w:p>
      <w:pPr>
        <w:numPr>
          <w:ilvl w:val="1"/>
          <w:numId w:val="1005"/>
        </w:numPr>
        <w:pStyle w:val="Compact"/>
      </w:pPr>
      <w:r>
        <w:rPr>
          <w:bCs/>
          <w:b/>
        </w:rPr>
        <w:t xml:space="preserve">Assumed Product Mass:</w:t>
      </w:r>
      <w:r>
        <w:t xml:space="preserve"> </w:t>
      </w:r>
      <w:r>
        <w:t xml:space="preserve">~1 kg (for inbound components)</w:t>
      </w:r>
    </w:p>
    <w:p>
      <w:pPr>
        <w:numPr>
          <w:ilvl w:val="1"/>
          <w:numId w:val="1005"/>
        </w:numPr>
        <w:pStyle w:val="Compact"/>
      </w:pPr>
      <w:r>
        <w:rPr>
          <w:bCs/>
          <w:b/>
        </w:rPr>
        <w:t xml:space="preserve">Emission Factor (HGV):</w:t>
      </w:r>
      <w:r>
        <w:t xml:space="preserve"> </w:t>
      </w:r>
      <w:r>
        <w:t xml:space="preserve">0.07 kgCO2e/tkm</w:t>
      </w:r>
    </w:p>
    <w:p>
      <w:pPr>
        <w:numPr>
          <w:ilvl w:val="0"/>
          <w:numId w:val="1004"/>
        </w:numPr>
        <w:pStyle w:val="Compact"/>
      </w:pPr>
      <w:r>
        <w:rPr>
          <w:bCs/>
          <w:b/>
        </w:rPr>
        <w:t xml:space="preserve">Last-Mile Delivery (Outbound from Distribution Hub):</w:t>
      </w:r>
    </w:p>
    <w:p>
      <w:pPr>
        <w:numPr>
          <w:ilvl w:val="1"/>
          <w:numId w:val="1006"/>
        </w:numPr>
        <w:pStyle w:val="Compact"/>
      </w:pPr>
      <w:r>
        <w:rPr>
          <w:bCs/>
          <w:b/>
        </w:rPr>
        <w:t xml:space="preserve">Delivery Channel:</w:t>
      </w:r>
      <w:r>
        <w:t xml:space="preserve"> </w:t>
      </w:r>
      <w:r>
        <w:t xml:space="preserve">Light Commercial Van</w:t>
      </w:r>
    </w:p>
    <w:p>
      <w:pPr>
        <w:numPr>
          <w:ilvl w:val="1"/>
          <w:numId w:val="1006"/>
        </w:numPr>
        <w:pStyle w:val="Compact"/>
      </w:pPr>
      <w:r>
        <w:rPr>
          <w:bCs/>
          <w:b/>
        </w:rPr>
        <w:t xml:space="preserve">Estimated Emission per unit:</w:t>
      </w:r>
      <w:r>
        <w:t xml:space="preserve"> </w:t>
      </w:r>
      <w:r>
        <w:t xml:space="preserve">0.3 kgCO2e/unit (based on average last-mile delivery impact for a product of this size)</w:t>
      </w:r>
    </w:p>
    <w:bookmarkEnd w:id="25"/>
    <w:bookmarkStart w:id="26" w:name="X687445901a9235e23446a36286990b6b14efa53"/>
    <w:p>
      <w:pPr>
        <w:pStyle w:val="Heading3"/>
      </w:pPr>
      <w:r>
        <w:t xml:space="preserve">2.4. Use Phase (Scope 3 - Category 11: Use of Sold Products)</w:t>
      </w:r>
    </w:p>
    <w:p>
      <w:pPr>
        <w:pStyle w:val="FirstParagraph"/>
      </w:pPr>
      <w:r>
        <w:t xml:space="preserve">The operational energy consumption of the product over its lifetime significantly contributes to its PCF.</w:t>
      </w:r>
    </w:p>
    <w:p>
      <w:pPr>
        <w:numPr>
          <w:ilvl w:val="0"/>
          <w:numId w:val="1007"/>
        </w:numPr>
        <w:pStyle w:val="Compact"/>
      </w:pPr>
      <w:r>
        <w:rPr>
          <w:bCs/>
          <w:b/>
        </w:rPr>
        <w:t xml:space="preserve">Product Lifespan:</w:t>
      </w:r>
      <w:r>
        <w:t xml:space="preserve"> </w:t>
      </w:r>
      <w:r>
        <w:t xml:space="preserve">5 years</w:t>
      </w:r>
    </w:p>
    <w:p>
      <w:pPr>
        <w:numPr>
          <w:ilvl w:val="0"/>
          <w:numId w:val="1007"/>
        </w:numPr>
        <w:pStyle w:val="Compact"/>
      </w:pPr>
      <w:r>
        <w:rPr>
          <w:bCs/>
          <w:b/>
        </w:rPr>
        <w:t xml:space="preserve">Energy Consumption in Use:</w:t>
      </w:r>
      <w:r>
        <w:t xml:space="preserve"> </w:t>
      </w:r>
      <w:r>
        <w:t xml:space="preserve">20 kWh/year</w:t>
      </w:r>
    </w:p>
    <w:p>
      <w:pPr>
        <w:numPr>
          <w:ilvl w:val="0"/>
          <w:numId w:val="1007"/>
        </w:numPr>
        <w:pStyle w:val="Compact"/>
      </w:pPr>
      <w:r>
        <w:rPr>
          <w:bCs/>
          <w:b/>
        </w:rPr>
        <w:t xml:space="preserve">Assumed Electricity Grid Mix (for use phase):</w:t>
      </w:r>
      <w:r>
        <w:t xml:space="preserve"> </w:t>
      </w:r>
      <w:r>
        <w:t xml:space="preserve">European average grid mix (0.25 kgCO2e/kWh)</w:t>
      </w:r>
    </w:p>
    <w:bookmarkEnd w:id="26"/>
    <w:bookmarkStart w:id="27" w:name="X72ffec783e0e060039a5700db2ab7e6b8d3d4b1"/>
    <w:p>
      <w:pPr>
        <w:pStyle w:val="Heading3"/>
      </w:pPr>
      <w:r>
        <w:t xml:space="preserve">2.5. End-of-Life (EoL) Phase (Scope 3 - Category 12: End-of-Life Treatment of Sold Products)</w:t>
      </w:r>
    </w:p>
    <w:p>
      <w:pPr>
        <w:pStyle w:val="FirstParagraph"/>
      </w:pPr>
      <w:r>
        <w:t xml:space="preserve">The end-of-life scenario incorporates principles of the circular economy.</w:t>
      </w:r>
    </w:p>
    <w:p>
      <w:pPr>
        <w:numPr>
          <w:ilvl w:val="0"/>
          <w:numId w:val="1008"/>
        </w:numPr>
        <w:pStyle w:val="Compact"/>
      </w:pPr>
      <w:r>
        <w:rPr>
          <w:bCs/>
          <w:b/>
        </w:rPr>
        <w:t xml:space="preserve">Recyclability Percentage:</w:t>
      </w:r>
      <w:r>
        <w:t xml:space="preserve"> </w:t>
      </w:r>
      <w:r>
        <w:t xml:space="preserve">80%</w:t>
      </w:r>
    </w:p>
    <w:p>
      <w:pPr>
        <w:numPr>
          <w:ilvl w:val="0"/>
          <w:numId w:val="1008"/>
        </w:numPr>
        <w:pStyle w:val="Compact"/>
      </w:pPr>
      <w:r>
        <w:rPr>
          <w:bCs/>
          <w:b/>
        </w:rPr>
        <w:t xml:space="preserve">Circular/Take-back Programs:</w:t>
      </w:r>
      <w:r>
        <w:t xml:space="preserve"> </w:t>
      </w:r>
      <w:r>
        <w:t xml:space="preserve">Established take-back program for key components and materials, promoting recycling and material recovery.</w:t>
      </w:r>
    </w:p>
    <w:p>
      <w:r>
        <w:pict>
          <v:rect style="width:0;height:1.5pt" o:hralign="center" o:hrstd="t" o:hr="t"/>
        </w:pict>
      </w:r>
    </w:p>
    <w:bookmarkEnd w:id="27"/>
    <w:bookmarkEnd w:id="28"/>
    <w:bookmarkStart w:id="29" w:name="collect-data"/>
    <w:p>
      <w:pPr>
        <w:pStyle w:val="Heading2"/>
      </w:pPr>
      <w:r>
        <w:t xml:space="preserve">3. Collect Data</w:t>
      </w:r>
    </w:p>
    <w:p>
      <w:pPr>
        <w:pStyle w:val="FirstParagraph"/>
      </w:pPr>
      <w:r>
        <w:t xml:space="preserve">Data collection involved utilizing both primary and secondary data points:</w:t>
      </w:r>
    </w:p>
    <w:p>
      <w:pPr>
        <w:numPr>
          <w:ilvl w:val="0"/>
          <w:numId w:val="1009"/>
        </w:numPr>
        <w:pStyle w:val="Compact"/>
      </w:pPr>
      <w:r>
        <w:rPr>
          <w:bCs/>
          <w:b/>
        </w:rPr>
        <w:t xml:space="preserve">Primary Data:</w:t>
      </w:r>
      <w:r>
        <w:t xml:space="preserve"> </w:t>
      </w:r>
      <w:r>
        <w:t xml:space="preserve">The Detailed Bill of Materials (`hwylsyzq`) and specific energy consumption data (`xvdfhqqgeh`, `wkywiurlqe`) were directly provided by `tjzoyvgiff`. Logistics data (`Select Mode`, `zflojtzjsz`, `Delivery Type`) and use phase parameters (`ppuwrxevnz`, `dokisrpzdv`) were also specific inputs.</w:t>
      </w:r>
    </w:p>
    <w:p>
      <w:pPr>
        <w:numPr>
          <w:ilvl w:val="0"/>
          <w:numId w:val="1009"/>
        </w:numPr>
        <w:pStyle w:val="Compact"/>
      </w:pPr>
      <w:r>
        <w:rPr>
          <w:bCs/>
          <w:b/>
        </w:rPr>
        <w:t xml:space="preserve">Secondary Data:</w:t>
      </w:r>
      <w:r>
        <w:t xml:space="preserve"> </w:t>
      </w:r>
      <w:r>
        <w:t xml:space="preserve">Industry-standard emission factors were sourced from reputable databases, primarily based on Ecoinvent and DEFRA equivalents, for electricity grids (China, EU average), road freight, and estimated last-mile delivery impacts. These factors are crucial for converting activity data into CO2e emissions.</w:t>
      </w:r>
    </w:p>
    <w:p>
      <w:pPr>
        <w:numPr>
          <w:ilvl w:val="0"/>
          <w:numId w:val="1009"/>
        </w:numPr>
        <w:pStyle w:val="Compact"/>
      </w:pPr>
      <w:r>
        <w:rPr>
          <w:bCs/>
          <w:b/>
        </w:rPr>
        <w:t xml:space="preserve">LSR Standard Application:</w:t>
      </w:r>
      <w:r>
        <w:t xml:space="preserve"> </w:t>
      </w:r>
      <w:r>
        <w:t xml:space="preserve">In accordance with the 2026 LSR Standard, the analysis considered potential land use changes or biogenic carbon flows. Based on the provided product and material data, no direct land use change impacts or significant biogenic carbon removals were identified within the product\'s immediate value chain. However, the standard\'s principles for transparency and potential future incorporation of land-related impacts are acknowledged.</w:t>
      </w:r>
    </w:p>
    <w:p>
      <w:r>
        <w:pict>
          <v:rect style="width:0;height:1.5pt" o:hralign="center" o:hrstd="t" o:hr="t"/>
        </w:pict>
      </w:r>
    </w:p>
    <w:bookmarkEnd w:id="29"/>
    <w:bookmarkStart w:id="39" w:name="calculate-emissions"/>
    <w:p>
      <w:pPr>
        <w:pStyle w:val="Heading2"/>
      </w:pPr>
      <w:r>
        <w:t xml:space="preserve">4. Calculate Emissions</w:t>
      </w:r>
    </w:p>
    <w:p>
      <w:pPr>
        <w:pStyle w:val="FirstParagraph"/>
      </w:pPr>
      <w:r>
        <w:t xml:space="preserve">Emissions are calculated by multiplying activity data by the relevant emission factors (Activity Data × Emission Factor = CO2e). Emissions are categorized according to the GHG Protocol.</w:t>
      </w:r>
    </w:p>
    <w:bookmarkStart w:id="30" w:name="scope-1-emissions"/>
    <w:p>
      <w:pPr>
        <w:pStyle w:val="Heading3"/>
      </w:pPr>
      <w:r>
        <w:t xml:space="preserve">4.1. Scope 1 Emissions</w:t>
      </w:r>
    </w:p>
    <w:p>
      <w:pPr>
        <w:pStyle w:val="FirstParagraph"/>
      </w:pPr>
      <w:r>
        <w:t xml:space="preserve">As the system boundary is \'factory_gate\' and specific direct fossil fuel combustion or process emissions from the factory were not provided separately (often embedded in purchased energy or material EFs at this level of detail), direct Scope 1 emissions are considered negligible for this product-level analysis, or are implicitly covered within Scope 2 and 3 calculations that use comprehensive EFs.</w:t>
      </w:r>
    </w:p>
    <w:bookmarkEnd w:id="30"/>
    <w:bookmarkStart w:id="31" w:name="scope-2-emissions-purchased-energy"/>
    <w:p>
      <w:pPr>
        <w:pStyle w:val="Heading3"/>
      </w:pPr>
      <w:r>
        <w:t xml:space="preserve">4.2. Scope 2 Emissions (Purchased Energy)</w:t>
      </w:r>
    </w:p>
    <w:p>
      <w:pPr>
        <w:pStyle w:val="FirstParagraph"/>
      </w:pPr>
      <w:r>
        <w:t xml:space="preserve">These emissions arise from the generation of purchased electricity consumed during the production phase.</w:t>
      </w:r>
    </w:p>
    <w:p>
      <w:pPr>
        <w:numPr>
          <w:ilvl w:val="0"/>
          <w:numId w:val="1010"/>
        </w:numPr>
        <w:pStyle w:val="Compact"/>
      </w:pPr>
      <w:r>
        <w:t xml:space="preserve">Total Energy Consumption: 15 kWh/unit</w:t>
      </w:r>
    </w:p>
    <w:p>
      <w:pPr>
        <w:numPr>
          <w:ilvl w:val="0"/>
          <w:numId w:val="1010"/>
        </w:numPr>
        <w:pStyle w:val="Compact"/>
      </w:pPr>
      <w:r>
        <w:t xml:space="preserve">Renewable Energy Share: 75% (11.25 kWh)</w:t>
      </w:r>
    </w:p>
    <w:p>
      <w:pPr>
        <w:numPr>
          <w:ilvl w:val="0"/>
          <w:numId w:val="1010"/>
        </w:numPr>
        <w:pStyle w:val="Compact"/>
      </w:pPr>
      <w:r>
        <w:t xml:space="preserve">Non-Renewable Energy Share: 25% (3.75 kWh)</w:t>
      </w:r>
    </w:p>
    <w:p>
      <w:pPr>
        <w:numPr>
          <w:ilvl w:val="0"/>
          <w:numId w:val="1010"/>
        </w:numPr>
        <w:pStyle w:val="Compact"/>
      </w:pPr>
      <w:r>
        <w:t xml:space="preserve">Emissions from Non-Renewable (China Grid Mix): 3.75 kWh * 0.6 kgCO2e/kWh = 2.25 kgCO2e</w:t>
      </w:r>
    </w:p>
    <w:p>
      <w:pPr>
        <w:numPr>
          <w:ilvl w:val="0"/>
          <w:numId w:val="1010"/>
        </w:numPr>
        <w:pStyle w:val="Compact"/>
      </w:pPr>
      <w:r>
        <w:t xml:space="preserve">Emissions from Renewable (Residual): 11.25 kWh * 0.02 kgCO2e/kWh = 0.225 kgCO2e</w:t>
      </w:r>
    </w:p>
    <w:p>
      <w:pPr>
        <w:numPr>
          <w:ilvl w:val="0"/>
          <w:numId w:val="1010"/>
        </w:numPr>
        <w:pStyle w:val="Compact"/>
      </w:pPr>
      <w:r>
        <w:rPr>
          <w:bCs/>
          <w:b/>
        </w:rPr>
        <w:t xml:space="preserve">Total Scope 2 Emissions:</w:t>
      </w:r>
      <w:r>
        <w:t xml:space="preserve"> </w:t>
      </w:r>
      <w:r>
        <w:t xml:space="preserve">2.25 + 0.225 =</w:t>
      </w:r>
      <w:r>
        <w:t xml:space="preserve"> </w:t>
      </w:r>
      <w:r>
        <w:rPr>
          <w:bCs/>
          <w:b/>
        </w:rPr>
        <w:t xml:space="preserve">2.475 kgCO2e</w:t>
      </w:r>
    </w:p>
    <w:bookmarkEnd w:id="31"/>
    <w:bookmarkStart w:id="37" w:name="scope-3-emissions-value-chain"/>
    <w:p>
      <w:pPr>
        <w:pStyle w:val="Heading3"/>
      </w:pPr>
      <w:r>
        <w:t xml:space="preserve">4.3. Scope 3 Emissions (Value Chain)</w:t>
      </w:r>
    </w:p>
    <w:p>
      <w:pPr>
        <w:pStyle w:val="FirstParagraph"/>
      </w:pPr>
      <w:r>
        <w:t xml:space="preserve">Scope 3 emissions represent the largest portion of `gxlwgsyzvl`\'s carbon footprint, encompassing upstream and downstream activities. At least 95% coverage for Scope 3 reporting has been ensured as per 2026 requirements by including all significant categories.</w:t>
      </w:r>
    </w:p>
    <w:bookmarkStart w:id="32" w:name="X9b53c4fa7e02594ab9ced3552c7ef7a0db11ec7"/>
    <w:p>
      <w:pPr>
        <w:pStyle w:val="Heading4"/>
      </w:pPr>
      <w:r>
        <w:t xml:space="preserve">4.3.1. Category 1: Purchased Goods and Services (Material Acquisition)</w:t>
      </w:r>
    </w:p>
    <w:p>
      <w:pPr>
        <w:pStyle w:val="FirstParagraph"/>
      </w:pPr>
      <w:r>
        <w:t xml:space="preserve">The emissions from the extraction, production, and pre-processing of raw materials and components are directly taken from the BOM data.</w:t>
      </w:r>
    </w:p>
    <w:p>
      <w:pPr>
        <w:numPr>
          <w:ilvl w:val="0"/>
          <w:numId w:val="1011"/>
        </w:numPr>
        <w:pStyle w:val="Compact"/>
      </w:pPr>
      <w:r>
        <w:t xml:space="preserve">Total Carbon from Materials:</w:t>
      </w:r>
      <w:r>
        <w:t xml:space="preserve"> </w:t>
      </w:r>
      <w:r>
        <w:rPr>
          <w:bCs/>
          <w:b/>
        </w:rPr>
        <w:t xml:space="preserve">8.11 kgCO2e</w:t>
      </w:r>
    </w:p>
    <w:bookmarkEnd w:id="32"/>
    <w:bookmarkStart w:id="33" w:name="X81feec90b8b7c9bf2c1f14d160bff67351c8b71"/>
    <w:p>
      <w:pPr>
        <w:pStyle w:val="Heading4"/>
      </w:pPr>
      <w:r>
        <w:t xml:space="preserve">4.3.2. Category 4: Upstream Transportation and Distribution (Inbound Logistics)</w:t>
      </w:r>
    </w:p>
    <w:p>
      <w:pPr>
        <w:pStyle w:val="FirstParagraph"/>
      </w:pPr>
      <w:r>
        <w:t xml:space="preserve">Emissions from transporting components to the manufacturing facility.</w:t>
      </w:r>
    </w:p>
    <w:p>
      <w:pPr>
        <w:numPr>
          <w:ilvl w:val="0"/>
          <w:numId w:val="1012"/>
        </w:numPr>
        <w:pStyle w:val="Compact"/>
      </w:pPr>
      <w:r>
        <w:t xml:space="preserve">Product Mass (approx.): 1 kg (0.001 tonne)</w:t>
      </w:r>
    </w:p>
    <w:p>
      <w:pPr>
        <w:numPr>
          <w:ilvl w:val="0"/>
          <w:numId w:val="1012"/>
        </w:numPr>
        <w:pStyle w:val="Compact"/>
      </w:pPr>
      <w:r>
        <w:t xml:space="preserve">Transport Distance: 3,000 km</w:t>
      </w:r>
    </w:p>
    <w:p>
      <w:pPr>
        <w:numPr>
          <w:ilvl w:val="0"/>
          <w:numId w:val="1012"/>
        </w:numPr>
        <w:pStyle w:val="Compact"/>
      </w:pPr>
      <w:r>
        <w:t xml:space="preserve">Transport Mode: Road Freight (HGV)</w:t>
      </w:r>
    </w:p>
    <w:p>
      <w:pPr>
        <w:numPr>
          <w:ilvl w:val="0"/>
          <w:numId w:val="1012"/>
        </w:numPr>
        <w:pStyle w:val="Compact"/>
      </w:pPr>
      <w:r>
        <w:t xml:space="preserve">Emission Factor: 0.07 kgCO2e/tkm</w:t>
      </w:r>
    </w:p>
    <w:p>
      <w:pPr>
        <w:numPr>
          <w:ilvl w:val="0"/>
          <w:numId w:val="1012"/>
        </w:numPr>
        <w:pStyle w:val="Compact"/>
      </w:pPr>
      <w:r>
        <w:t xml:space="preserve">Emissions: 0.001 t * 3,000 km * 0.07 kgCO2e/tkm =</w:t>
      </w:r>
      <w:r>
        <w:t xml:space="preserve"> </w:t>
      </w:r>
      <w:r>
        <w:rPr>
          <w:bCs/>
          <w:b/>
        </w:rPr>
        <w:t xml:space="preserve">0.21 kgCO2e</w:t>
      </w:r>
    </w:p>
    <w:bookmarkEnd w:id="33"/>
    <w:bookmarkStart w:id="34" w:name="Xe6a609cc71639c4bb5b5bcd247c776c9d89fa33"/>
    <w:p>
      <w:pPr>
        <w:pStyle w:val="Heading4"/>
      </w:pPr>
      <w:r>
        <w:t xml:space="preserve">4.3.3. Category 9: Downstream Transportation and Distribution (Last-Mile Delivery)</w:t>
      </w:r>
    </w:p>
    <w:p>
      <w:pPr>
        <w:pStyle w:val="FirstParagraph"/>
      </w:pPr>
      <w:r>
        <w:t xml:space="preserve">Emissions from the final delivery of the product to the end-user.</w:t>
      </w:r>
    </w:p>
    <w:p>
      <w:pPr>
        <w:numPr>
          <w:ilvl w:val="0"/>
          <w:numId w:val="1013"/>
        </w:numPr>
        <w:pStyle w:val="Compact"/>
      </w:pPr>
      <w:r>
        <w:t xml:space="preserve">Delivery Channel: Light Commercial Van</w:t>
      </w:r>
    </w:p>
    <w:p>
      <w:pPr>
        <w:numPr>
          <w:ilvl w:val="0"/>
          <w:numId w:val="1013"/>
        </w:numPr>
        <w:pStyle w:val="Compact"/>
      </w:pPr>
      <w:r>
        <w:t xml:space="preserve">Estimated Emissions per unit:</w:t>
      </w:r>
      <w:r>
        <w:t xml:space="preserve"> </w:t>
      </w:r>
      <w:r>
        <w:rPr>
          <w:bCs/>
          <w:b/>
        </w:rPr>
        <w:t xml:space="preserve">0.30 kgCO2e</w:t>
      </w:r>
    </w:p>
    <w:p>
      <w:pPr>
        <w:pStyle w:val="FirstParagraph"/>
      </w:pPr>
      <w:r>
        <w:rPr>
          <w:bCs/>
          <w:b/>
        </w:rPr>
        <w:t xml:space="preserve">Total Transport (Upstream &amp; Downstream):</w:t>
      </w:r>
      <w:r>
        <w:t xml:space="preserve"> </w:t>
      </w:r>
      <w:r>
        <w:t xml:space="preserve">0.21 + 0.30 =</w:t>
      </w:r>
      <w:r>
        <w:t xml:space="preserve"> </w:t>
      </w:r>
      <w:r>
        <w:rPr>
          <w:bCs/>
          <w:b/>
        </w:rPr>
        <w:t xml:space="preserve">0.51 kgCO2e</w:t>
      </w:r>
    </w:p>
    <w:bookmarkEnd w:id="34"/>
    <w:bookmarkStart w:id="35" w:name="category-11-use-of-sold-products"/>
    <w:p>
      <w:pPr>
        <w:pStyle w:val="Heading4"/>
      </w:pPr>
      <w:r>
        <w:t xml:space="preserve">4.3.4. Category 11: Use of Sold Products</w:t>
      </w:r>
    </w:p>
    <w:p>
      <w:pPr>
        <w:pStyle w:val="FirstParagraph"/>
      </w:pPr>
      <w:r>
        <w:t xml:space="preserve">Emissions generated from the energy consumption during the product\'s use phase.</w:t>
      </w:r>
    </w:p>
    <w:p>
      <w:pPr>
        <w:numPr>
          <w:ilvl w:val="0"/>
          <w:numId w:val="1014"/>
        </w:numPr>
        <w:pStyle w:val="Compact"/>
      </w:pPr>
      <w:r>
        <w:t xml:space="preserve">Product Lifespan: 5 years</w:t>
      </w:r>
    </w:p>
    <w:p>
      <w:pPr>
        <w:numPr>
          <w:ilvl w:val="0"/>
          <w:numId w:val="1014"/>
        </w:numPr>
        <w:pStyle w:val="Compact"/>
      </w:pPr>
      <w:r>
        <w:t xml:space="preserve">Annual Energy Consumption: 20 kWh/year</w:t>
      </w:r>
    </w:p>
    <w:p>
      <w:pPr>
        <w:numPr>
          <w:ilvl w:val="0"/>
          <w:numId w:val="1014"/>
        </w:numPr>
        <w:pStyle w:val="Compact"/>
      </w:pPr>
      <w:r>
        <w:t xml:space="preserve">Total Energy Consumption over Lifespan: 5 years * 20 kWh/year = 100 kWh</w:t>
      </w:r>
    </w:p>
    <w:p>
      <w:pPr>
        <w:numPr>
          <w:ilvl w:val="0"/>
          <w:numId w:val="1014"/>
        </w:numPr>
        <w:pStyle w:val="Compact"/>
      </w:pPr>
      <w:r>
        <w:t xml:space="preserve">Emission Factor (EU Grid Mix): 0.25 kgCO2e/kWh</w:t>
      </w:r>
    </w:p>
    <w:p>
      <w:pPr>
        <w:numPr>
          <w:ilvl w:val="0"/>
          <w:numId w:val="1014"/>
        </w:numPr>
        <w:pStyle w:val="Compact"/>
      </w:pPr>
      <w:r>
        <w:t xml:space="preserve">Emissions: 100 kWh * 0.25 kgCO2e/kWh =</w:t>
      </w:r>
      <w:r>
        <w:t xml:space="preserve"> </w:t>
      </w:r>
      <w:r>
        <w:rPr>
          <w:bCs/>
          <w:b/>
        </w:rPr>
        <w:t xml:space="preserve">25.0 kgCO2e</w:t>
      </w:r>
    </w:p>
    <w:bookmarkEnd w:id="35"/>
    <w:bookmarkStart w:id="36" w:name="X9f66eef2700632e081dfe139021cb724ffcd2c5"/>
    <w:p>
      <w:pPr>
        <w:pStyle w:val="Heading4"/>
      </w:pPr>
      <w:r>
        <w:t xml:space="preserve">4.3.5. Category 12: End-of-Life Treatment of Sold Products</w:t>
      </w:r>
    </w:p>
    <w:p>
      <w:pPr>
        <w:pStyle w:val="FirstParagraph"/>
      </w:pPr>
      <w:r>
        <w:t xml:space="preserve">Emissions (or credits) associated with the disposal and recovery of the product at the end of its life.</w:t>
      </w:r>
    </w:p>
    <w:p>
      <w:pPr>
        <w:numPr>
          <w:ilvl w:val="0"/>
          <w:numId w:val="1015"/>
        </w:numPr>
        <w:pStyle w:val="Compact"/>
      </w:pPr>
      <w:r>
        <w:t xml:space="preserve">Recyclability Percentage: 80%</w:t>
      </w:r>
    </w:p>
    <w:p>
      <w:pPr>
        <w:numPr>
          <w:ilvl w:val="0"/>
          <w:numId w:val="1015"/>
        </w:numPr>
        <w:pStyle w:val="Compact"/>
      </w:pPr>
      <w:r>
        <w:t xml:space="preserve">Non-Recycled Portion: 20% (approx. 0.2 kg of product mass)</w:t>
      </w:r>
    </w:p>
    <w:p>
      <w:pPr>
        <w:numPr>
          <w:ilvl w:val="0"/>
          <w:numId w:val="1015"/>
        </w:numPr>
        <w:pStyle w:val="Compact"/>
      </w:pPr>
      <w:r>
        <w:t xml:space="preserve">Estimated Emissions from Non-Recycled Waste (e.g., landfill): 0.2 kg * 0.5 kgCO2e/kg (simplified) =</w:t>
      </w:r>
      <w:r>
        <w:t xml:space="preserve"> </w:t>
      </w:r>
      <w:r>
        <w:rPr>
          <w:bCs/>
          <w:b/>
        </w:rPr>
        <w:t xml:space="preserve">0.1 kgCO2e</w:t>
      </w:r>
    </w:p>
    <w:p>
      <w:pPr>
        <w:numPr>
          <w:ilvl w:val="0"/>
          <w:numId w:val="1015"/>
        </w:numPr>
        <w:pStyle w:val="Compact"/>
      </w:pPr>
      <w:r>
        <w:rPr>
          <w:bCs/>
          <w:b/>
        </w:rPr>
        <w:t xml:space="preserve">Impact of Circular Programs:</w:t>
      </w:r>
      <w:r>
        <w:t xml:space="preserve"> </w:t>
      </w:r>
      <w:r>
        <w:t xml:space="preserve">The established take-back program and high recyclability (80%) significantly reduce the overall environmental burden. While not directly quantified as a credit in this simplified sum, the avoided emissions from virgin material production due to recycling represent a substantial positive impact, which is acknowledged.</w:t>
      </w:r>
    </w:p>
    <w:bookmarkEnd w:id="36"/>
    <w:bookmarkEnd w:id="37"/>
    <w:bookmarkStart w:id="38" w:name="summary-of-emissions-by-scope"/>
    <w:p>
      <w:pPr>
        <w:pStyle w:val="Heading3"/>
      </w:pPr>
      <w:r>
        <w:t xml:space="preserve">4.4. Summary of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Life Cycle Stage</w:t>
            </w:r>
          </w:p>
        </w:tc>
        <w:tc>
          <w:tcPr/>
          <w:p>
            <w:pPr>
              <w:pStyle w:val="Compact"/>
              <w:jc w:val="left"/>
            </w:pPr>
            <w:r>
              <w:t xml:space="preserve">Emissions (kgCO2e)</w:t>
            </w:r>
          </w:p>
        </w:tc>
      </w:tr>
      <w:tr>
        <w:tc>
          <w:tcPr/>
          <w:p>
            <w:pPr>
              <w:pStyle w:val="Compact"/>
              <w:jc w:val="left"/>
            </w:pPr>
            <w:r>
              <w:t xml:space="preserve">Scope 1</w:t>
            </w:r>
          </w:p>
        </w:tc>
        <w:tc>
          <w:tcPr/>
          <w:p>
            <w:pPr>
              <w:pStyle w:val="Compact"/>
              <w:jc w:val="left"/>
            </w:pPr>
            <w:r>
              <w:t xml:space="preserve">Direct Emissions (negligible/embedded)</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2.475</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8.110</w:t>
            </w:r>
          </w:p>
        </w:tc>
      </w:tr>
      <w:tr>
        <w:tc>
          <w:tcPr>
            <w:gridSpan w:val="1"/>
            <w:vMerge w:val="continue"/>
          </w:tcPr>
          <w:p>
            <w:pPr/>
          </w:p>
        </w:tc>
        <w:tc>
          <w:tcPr/>
          <w:p>
            <w:pPr>
              <w:pStyle w:val="Compact"/>
              <w:jc w:val="left"/>
            </w:pPr>
            <w:r>
              <w:t xml:space="preserve">Category 4: Upstream Transportation and Distribution (Inbound)</w:t>
            </w:r>
          </w:p>
        </w:tc>
        <w:tc>
          <w:tcPr/>
          <w:p>
            <w:pPr>
              <w:pStyle w:val="Compact"/>
              <w:jc w:val="left"/>
            </w:pPr>
            <w:r>
              <w:t xml:space="preserve">0.210</w:t>
            </w:r>
          </w:p>
        </w:tc>
      </w:tr>
      <w:tr>
        <w:tc>
          <w:tcPr>
            <w:gridSpan w:val="1"/>
            <w:vMerge w:val="continue"/>
          </w:tcPr>
          <w:p>
            <w:pPr/>
          </w:p>
        </w:tc>
        <w:tc>
          <w:tcPr/>
          <w:p>
            <w:pPr>
              <w:pStyle w:val="Compact"/>
              <w:jc w:val="left"/>
            </w:pPr>
            <w:r>
              <w:t xml:space="preserve">Category 9: Downstream Transportation and Distribution (Last-Mile)</w:t>
            </w:r>
          </w:p>
        </w:tc>
        <w:tc>
          <w:tcPr/>
          <w:p>
            <w:pPr>
              <w:pStyle w:val="Compact"/>
              <w:jc w:val="left"/>
            </w:pPr>
            <w:r>
              <w:t xml:space="preserve">0.300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25.000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0.100</w:t>
            </w:r>
          </w:p>
        </w:tc>
      </w:tr>
      <w:tr>
        <w:tc>
          <w:tcPr>
            <w:gridSpan w:val="2"/>
          </w:tcPr>
          <w:p>
            <w:pPr>
              <w:pStyle w:val="Compact"/>
              <w:jc w:val="right"/>
            </w:pPr>
            <w:r>
              <w:rPr>
                <w:bCs/>
                <w:b/>
              </w:rPr>
              <w:t xml:space="preserve">TOTAL PRODUCT CARBON FOOTPRINT (per functional unit):</w:t>
            </w:r>
          </w:p>
        </w:tc>
        <w:tc>
          <w:tcPr/>
          <w:p>
            <w:pPr>
              <w:pStyle w:val="Compact"/>
              <w:jc w:val="left"/>
            </w:pPr>
            <w:r>
              <w:rPr>
                <w:bCs/>
                <w:b/>
              </w:rPr>
              <w:t xml:space="preserve">36.195</w:t>
            </w:r>
          </w:p>
        </w:tc>
      </w:tr>
    </w:tbl>
    <w:p>
      <w:pPr>
        <w:pStyle w:val="BodyText"/>
      </w:pPr>
      <w:r>
        <w:rPr>
          <w:iCs/>
          <w:i/>
        </w:rPr>
        <w:t xml:space="preserve">All emissions are expressed in CO2e (Carbon Dioxide Equivalent).</w:t>
      </w:r>
    </w:p>
    <w:p>
      <w:r>
        <w:pict>
          <v:rect style="width:0;height:1.5pt" o:hralign="center" o:hrstd="t" o:hr="t"/>
        </w:pict>
      </w:r>
    </w:p>
    <w:bookmarkEnd w:id="38"/>
    <w:bookmarkEnd w:id="39"/>
    <w:bookmarkStart w:id="43" w:name="review-report"/>
    <w:p>
      <w:pPr>
        <w:pStyle w:val="Heading2"/>
      </w:pPr>
      <w:r>
        <w:t xml:space="preserve">5. Review &amp; Report</w:t>
      </w:r>
    </w:p>
    <w:p>
      <w:pPr>
        <w:pStyle w:val="FirstParagraph"/>
      </w:pPr>
      <w:r>
        <w:t xml:space="preserve">The final stage involves reviewing the calculations, identifying hotspots, and assessing the reliability of the data.</w:t>
      </w:r>
    </w:p>
    <w:bookmarkStart w:id="40" w:name="emission-hotspots"/>
    <w:p>
      <w:pPr>
        <w:pStyle w:val="Heading3"/>
      </w:pPr>
      <w:r>
        <w:t xml:space="preserve">5.1. Emission Hotspots</w:t>
      </w:r>
    </w:p>
    <w:p>
      <w:pPr>
        <w:pStyle w:val="FirstParagraph"/>
      </w:pPr>
      <w:r>
        <w:t xml:space="preserve">The primary emission hotspot for `gxlwgsyzvl` is the **Use Phase**, accounting for approximately 69% of the total PCF (25.0 kgCO2e). This is followed by **Material Acquisition**, which contributes about 22% (8.11 kgCO2e). The Production Energy (Scope 2) and Transport phases contribute smaller but significant portions. End-of-life has a minimal positive impact due to high recyclability.</w:t>
      </w:r>
    </w:p>
    <w:p>
      <w:pPr>
        <w:numPr>
          <w:ilvl w:val="0"/>
          <w:numId w:val="1016"/>
        </w:numPr>
        <w:pStyle w:val="Compact"/>
      </w:pPr>
      <w:r>
        <w:rPr>
          <w:bCs/>
          <w:b/>
        </w:rPr>
        <w:t xml:space="preserve">Use Phase:</w:t>
      </w:r>
      <w:r>
        <w:t xml:space="preserve"> </w:t>
      </w:r>
      <w:r>
        <w:t xml:space="preserve">Dominant contributor due to prolonged energy consumption over the product\'s 5-year lifespan.</w:t>
      </w:r>
    </w:p>
    <w:p>
      <w:pPr>
        <w:numPr>
          <w:ilvl w:val="0"/>
          <w:numId w:val="1016"/>
        </w:numPr>
        <w:pStyle w:val="Compact"/>
      </w:pPr>
      <w:r>
        <w:rPr>
          <w:bCs/>
          <w:b/>
        </w:rPr>
        <w:t xml:space="preserve">Material Acquisition:</w:t>
      </w:r>
      <w:r>
        <w:t xml:space="preserve"> </w:t>
      </w:r>
      <w:r>
        <w:t xml:space="preserve">Significant impact driven by energy-intensive materials like Aluminum and specific electronic components.</w:t>
      </w:r>
    </w:p>
    <w:p>
      <w:pPr>
        <w:numPr>
          <w:ilvl w:val="0"/>
          <w:numId w:val="1016"/>
        </w:numPr>
        <w:pStyle w:val="Compact"/>
      </w:pPr>
      <w:r>
        <w:rPr>
          <w:bCs/>
          <w:b/>
        </w:rPr>
        <w:t xml:space="preserve">Production Energy:</w:t>
      </w:r>
      <w:r>
        <w:t xml:space="preserve"> </w:t>
      </w:r>
      <w:r>
        <w:t xml:space="preserve">While a notable contributor, `tjzoyvgiff`\'s 75% renewable energy usage significantly mitigates this impact.</w:t>
      </w:r>
    </w:p>
    <w:p>
      <w:pPr>
        <w:numPr>
          <w:ilvl w:val="0"/>
          <w:numId w:val="1016"/>
        </w:numPr>
        <w:pStyle w:val="Compact"/>
      </w:pPr>
      <w:r>
        <w:rPr>
          <w:bCs/>
          <w:b/>
        </w:rPr>
        <w:t xml:space="preserve">Transport:</w:t>
      </w:r>
      <w:r>
        <w:t xml:space="preserve"> </w:t>
      </w:r>
      <w:r>
        <w:t xml:space="preserve">Relatively lower impact compared to other stages, but last-mile delivery specifically contributes more than long-haul component transport.</w:t>
      </w:r>
    </w:p>
    <w:bookmarkEnd w:id="40"/>
    <w:bookmarkStart w:id="41" w:name="data-reliability-and-limitations"/>
    <w:p>
      <w:pPr>
        <w:pStyle w:val="Heading3"/>
      </w:pPr>
      <w:r>
        <w:t xml:space="preserve">5.2. Data Reliability and Limitations</w:t>
      </w:r>
    </w:p>
    <w:p>
      <w:pPr>
        <w:pStyle w:val="FirstParagraph"/>
      </w:pPr>
      <w:r>
        <w:t xml:space="preserve">The analysis relies on a combination of primary data from `tjzoyvgiff` and secondary, industry-average emission factors (Ecoinvent/DEFRA). The reliability is considered high for specific data points, with reasonable estimations for generic factors. Limitations include:</w:t>
      </w:r>
    </w:p>
    <w:p>
      <w:pPr>
        <w:numPr>
          <w:ilvl w:val="0"/>
          <w:numId w:val="1017"/>
        </w:numPr>
        <w:pStyle w:val="Compact"/>
      </w:pPr>
      <w:r>
        <w:t xml:space="preserve">Assumptions for specific transport distances and last-mile delivery factors due to generalized input parameters.</w:t>
      </w:r>
    </w:p>
    <w:p>
      <w:pPr>
        <w:numPr>
          <w:ilvl w:val="0"/>
          <w:numId w:val="1017"/>
        </w:numPr>
        <w:pStyle w:val="Compact"/>
      </w:pPr>
      <w:r>
        <w:t xml:space="preserve">The \'factory_gate\' system boundary for Scope 1 and 2 focuses on purchased energy, assuming other direct emissions are negligible or embedded.</w:t>
      </w:r>
    </w:p>
    <w:p>
      <w:pPr>
        <w:numPr>
          <w:ilvl w:val="0"/>
          <w:numId w:val="1017"/>
        </w:numPr>
        <w:pStyle w:val="Compact"/>
      </w:pPr>
      <w:r>
        <w:t xml:space="preserve">LSR Standard application is qualitative in this report due to the absence of direct biogenic material or land-use change data specific to this product, aligning with its current interpretation for non-bio-based products.</w:t>
      </w:r>
    </w:p>
    <w:bookmarkEnd w:id="41"/>
    <w:bookmarkStart w:id="42" w:name="recommendations-for-reduction"/>
    <w:p>
      <w:pPr>
        <w:pStyle w:val="Heading3"/>
      </w:pPr>
      <w:r>
        <w:t xml:space="preserve">5.3. Recommendations for Reduction</w:t>
      </w:r>
    </w:p>
    <w:p>
      <w:pPr>
        <w:numPr>
          <w:ilvl w:val="0"/>
          <w:numId w:val="1018"/>
        </w:numPr>
        <w:pStyle w:val="Compact"/>
      </w:pPr>
      <w:r>
        <w:rPr>
          <w:bCs/>
          <w:b/>
        </w:rPr>
        <w:t xml:space="preserve">Reduce Use Phase Energy:</w:t>
      </w:r>
      <w:r>
        <w:t xml:space="preserve"> </w:t>
      </w:r>
      <w:r>
        <w:t xml:space="preserve">Focus on designing `gxlwgsyzvl` for greater energy efficiency during its operational life. Explore low-power modes, smart energy management features, and customer education on sustainable use.</w:t>
      </w:r>
    </w:p>
    <w:p>
      <w:pPr>
        <w:numPr>
          <w:ilvl w:val="0"/>
          <w:numId w:val="1018"/>
        </w:numPr>
        <w:pStyle w:val="Compact"/>
      </w:pPr>
      <w:r>
        <w:rPr>
          <w:bCs/>
          <w:b/>
        </w:rPr>
        <w:t xml:space="preserve">Optimize Material Selection:</w:t>
      </w:r>
      <w:r>
        <w:t xml:space="preserve"> </w:t>
      </w:r>
      <w:r>
        <w:t xml:space="preserve">Investigate alternative materials with lower inherent carbon footprints or increase the use of recycled content in materials like aluminum and plastics, where possible, without compromising product performance.</w:t>
      </w:r>
    </w:p>
    <w:p>
      <w:pPr>
        <w:numPr>
          <w:ilvl w:val="0"/>
          <w:numId w:val="1018"/>
        </w:numPr>
        <w:pStyle w:val="Compact"/>
      </w:pPr>
      <w:r>
        <w:rPr>
          <w:bCs/>
          <w:b/>
        </w:rPr>
        <w:t xml:space="preserve">Enhance Circularity:</w:t>
      </w:r>
      <w:r>
        <w:t xml:space="preserve"> </w:t>
      </w:r>
      <w:r>
        <w:t xml:space="preserve">Continue to strengthen the existing take-back programs and explore product-as-a-service models or advanced material recovery technologies to further minimize end-of-life impacts and maximize resource utilization.</w:t>
      </w:r>
    </w:p>
    <w:p>
      <w:pPr>
        <w:numPr>
          <w:ilvl w:val="0"/>
          <w:numId w:val="1018"/>
        </w:numPr>
        <w:pStyle w:val="Compact"/>
      </w:pPr>
      <w:r>
        <w:rPr>
          <w:bCs/>
          <w:b/>
        </w:rPr>
        <w:t xml:space="preserve">Green Logistics:</w:t>
      </w:r>
      <w:r>
        <w:t xml:space="preserve"> </w:t>
      </w:r>
      <w:r>
        <w:t xml:space="preserve">While transport is not the largest hotspot, optimizing routes, consolidating shipments, and exploring lower-emission transport modes (e.g., rail or electric vehicles for last-mile) can still yield reductions.</w:t>
      </w:r>
    </w:p>
    <w:p>
      <w:pPr>
        <w:numPr>
          <w:ilvl w:val="0"/>
          <w:numId w:val="1018"/>
        </w:numPr>
        <w:pStyle w:val="Compact"/>
      </w:pPr>
      <w:r>
        <w:rPr>
          <w:bCs/>
          <w:b/>
        </w:rPr>
        <w:t xml:space="preserve">Renewable Energy Expansion:</w:t>
      </w:r>
      <w:r>
        <w:t xml:space="preserve"> </w:t>
      </w:r>
      <w:r>
        <w:t xml:space="preserve">Continue to increase the share of renewable energy in manufacturing operations beyond the current 75% to further decarbonize production.</w:t>
      </w:r>
    </w:p>
    <w:p>
      <w:r>
        <w:pict>
          <v:rect style="width:0;height:1.5pt" o:hralign="center" o:hrstd="t" o:hr="t"/>
        </w:pict>
      </w:r>
    </w:p>
    <w:p>
      <w:pPr>
        <w:pStyle w:val="FirstParagraph"/>
      </w:pPr>
      <w:r>
        <w:t xml:space="preserve">Confidential - Internal Use Only | Page</w:t>
      </w:r>
      <w:r>
        <w:t xml:space="preserve"> </w:t>
      </w:r>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gxlwgsyzvl</dc:title>
  <dc:creator/>
  <dc:description>Detailed Product Carbon Footprint (PCF) analysis report for gxlwgsyzvl, conducted by kvqjimdejo (Senior Sustainability Consultant) following GHG Protocol standards. This report covers material impacts, production energy, transportation, use phase, and end-of-life scenarios.</dc:description>
  <dc:language>en</dc:language>
  <cp:keywords/>
  <dcterms:created xsi:type="dcterms:W3CDTF">2026-07-15T01:03:55Z</dcterms:created>
  <dcterms:modified xsi:type="dcterms:W3CDTF">2026-07-15T01:03:55Z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