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gwpkmittjl</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w:t>
      </w:r>
      <w:r>
        <w:t xml:space="preserve"> </w:t>
      </w:r>
      <w:r>
        <w:t xml:space="preserve">gwpkmittjl</w:t>
      </w:r>
    </w:p>
    <w:p>
      <w:pPr>
        <w:pStyle w:val="BodyText"/>
      </w:pPr>
      <w:r>
        <w:rPr>
          <w:bCs/>
          <w:b/>
        </w:rPr>
        <w:t xml:space="preserve">Company:</w:t>
      </w:r>
      <w:r>
        <w:t xml:space="preserve"> </w:t>
      </w:r>
      <w:r>
        <w:t xml:space="preserve">eehzwqgjun</w:t>
      </w:r>
    </w:p>
    <w:p>
      <w:pPr>
        <w:pStyle w:val="BodyText"/>
      </w:pPr>
      <w:r>
        <w:rPr>
          <w:bCs/>
          <w:b/>
        </w:rPr>
        <w:t xml:space="preserve">Senior Sustainability Consultant:</w:t>
      </w:r>
      <w:r>
        <w:t xml:space="preserve"> </w:t>
      </w:r>
      <w:r>
        <w:t xml:space="preserve">pzyqrhnnuf</w:t>
      </w:r>
    </w:p>
    <w:p>
      <w:pPr>
        <w:pStyle w:val="BodyText"/>
      </w:pPr>
      <w:r>
        <w:rPr>
          <w:bCs/>
          <w:b/>
        </w:rPr>
        <w:t xml:space="preserve">Accounting Standard:</w:t>
      </w:r>
      <w:r>
        <w:t xml:space="preserve"> </w:t>
      </w:r>
      <w:r>
        <w:t xml:space="preserve">GHG Protocol</w:t>
      </w:r>
    </w:p>
    <w:p>
      <w:pPr>
        <w:pStyle w:val="BodyText"/>
      </w:pPr>
      <w:r>
        <w:t xml:space="preserve">This report is generated based on available data and industry standards. Assumptions have been made where specific data was not provided or was in placeholder format, as detailed within the report.</w:t>
      </w:r>
    </w:p>
    <w:bookmarkEnd w:id="20"/>
    <w:bookmarkStart w:id="47" w:name="X365bc0aa25b403ff4945637792b970770ad27b3"/>
    <w:p>
      <w:pPr>
        <w:pStyle w:val="Heading1"/>
      </w:pPr>
      <w:r>
        <w:t xml:space="preserve">Product Carbon Footprint Analysis for gwpkmittjl</w:t>
      </w:r>
    </w:p>
    <w:p>
      <w:pPr>
        <w:pStyle w:val="FirstParagraph"/>
      </w:pPr>
      <w:r>
        <w:rPr>
          <w:bCs/>
          <w:b/>
        </w:rPr>
        <w:t xml:space="preserve">Generated Date:</w:t>
      </w:r>
      <w:r>
        <w:t xml:space="preserve"> </w:t>
      </w:r>
      <w:r>
        <w:t xml:space="preserve">May 19, 2026</w:t>
      </w:r>
    </w:p>
    <w:p>
      <w:r>
        <w:pict>
          <v:rect style="width:0;height:1.5pt" o:hralign="center" o:hrstd="t" o:hr="t"/>
        </w:pict>
      </w:r>
    </w:p>
    <w:bookmarkStart w:id="21" w:name="executive-summary"/>
    <w:p>
      <w:pPr>
        <w:pStyle w:val="Heading2"/>
      </w:pPr>
      <w:r>
        <w:t xml:space="preserve">Executive Summary</w:t>
      </w:r>
    </w:p>
    <w:p>
      <w:pPr>
        <w:pStyle w:val="FirstParagraph"/>
      </w:pPr>
      <w:r>
        <w:t xml:space="preserve">This report presents a high-detail Product Carbon Footprint (PCF) analysis for the product</w:t>
      </w:r>
      <w:r>
        <w:t xml:space="preserve"> </w:t>
      </w:r>
      <w:r>
        <w:rPr>
          <w:bCs/>
          <w:b/>
        </w:rPr>
        <w:t xml:space="preserve">gwpkmittjl</w:t>
      </w:r>
      <w:r>
        <w:t xml:space="preserve"> </w:t>
      </w:r>
      <w:r>
        <w:t xml:space="preserve">manufactured by</w:t>
      </w:r>
      <w:r>
        <w:t xml:space="preserve"> </w:t>
      </w:r>
      <w:r>
        <w:rPr>
          <w:bCs/>
          <w:b/>
        </w:rPr>
        <w:t xml:space="preserve">eehzwqgjun</w:t>
      </w:r>
      <w:r>
        <w:t xml:space="preserve">. The analysis was conducted by</w:t>
      </w:r>
      <w:r>
        <w:t xml:space="preserve"> </w:t>
      </w:r>
      <w:r>
        <w:rPr>
          <w:bCs/>
          <w:b/>
        </w:rPr>
        <w:t xml:space="preserve">pzyqrhnnuf</w:t>
      </w:r>
      <w:r>
        <w:t xml:space="preserve">, a Senior Sustainability Consultant specializing in the GHG Protocol. The PCF quantifies the total greenhouse gas (GHG) emissions associated with the product\'s lifecycle, adhering to the principles of the GHG Protocol and incorporating the 2026 Land Sector and Removals (LSR) Standard where applicable. Key stages analyzed include material acquisition, manufacturing, transportation, use, and end-of-life. This assessment aims to identify emission hotspots and provide a baseline for future decarbonization efforts.</w:t>
      </w:r>
    </w:p>
    <w:p>
      <w:r>
        <w:pict>
          <v:rect style="width:0;height:1.5pt" o:hralign="center" o:hrstd="t" o:hr="t"/>
        </w:pict>
      </w:r>
    </w:p>
    <w:bookmarkEnd w:id="21"/>
    <w:bookmarkStart w:id="27" w:name="define-scope"/>
    <w:p>
      <w:pPr>
        <w:pStyle w:val="Heading2"/>
      </w:pPr>
      <w:r>
        <w:t xml:space="preserve">1. Define Scope</w:t>
      </w:r>
    </w:p>
    <w:bookmarkStart w:id="22" w:name="functional-unit"/>
    <w:p>
      <w:pPr>
        <w:pStyle w:val="Heading3"/>
      </w:pPr>
      <w:r>
        <w:t xml:space="preserve">1.1 Functional Unit</w:t>
      </w:r>
    </w:p>
    <w:p>
      <w:pPr>
        <w:pStyle w:val="FirstParagraph"/>
      </w:pPr>
      <w:r>
        <w:t xml:space="preserve">The functional unit for this analysis is</w:t>
      </w:r>
      <w:r>
        <w:t xml:space="preserve"> </w:t>
      </w:r>
      <w:r>
        <w:rPr>
          <w:bCs/>
          <w:b/>
        </w:rPr>
        <w:t xml:space="preserve">1.0 unit</w:t>
      </w:r>
      <w:r>
        <w:t xml:space="preserve"> </w:t>
      </w:r>
      <w:r>
        <w:t xml:space="preserve">of gwpkmittjl. This unit provides the basis for quantifying all inputs and outputs across the product\'s lifecycle.</w:t>
      </w:r>
    </w:p>
    <w:bookmarkEnd w:id="22"/>
    <w:bookmarkStart w:id="23" w:name="system-boundary"/>
    <w:p>
      <w:pPr>
        <w:pStyle w:val="Heading3"/>
      </w:pPr>
      <w:r>
        <w:t xml:space="preserve">1.2 System Boundary</w:t>
      </w:r>
    </w:p>
    <w:p>
      <w:pPr>
        <w:pStyle w:val="FirstParagraph"/>
      </w:pPr>
      <w:r>
        <w:t xml:space="preserve">The system boundary for this PCF analysis is set at</w:t>
      </w:r>
      <w:r>
        <w:t xml:space="preserve"> </w:t>
      </w:r>
      <w:r>
        <w:rPr>
          <w:bCs/>
          <w:b/>
        </w:rPr>
        <w:t xml:space="preserve">factory_gate</w:t>
      </w:r>
      <w:r>
        <w:t xml:space="preserve">. This encompasses all relevant GHG emissions from raw material extraction, processing, and manufacturing processes up to the point where the finished product leaves the production facility. Downstream stages, including distribution, use phase, and end-of-life, are also included to provide a comprehensive cradle-to-grave assessment, even though the primary boundary for upstream accounting is factory_gate. Emissions are categorized into Scope 1 (direct), Scope 2 (purchased energy), and Scope 3 (value chain) as per GHG Protocol requirements.</w:t>
      </w:r>
    </w:p>
    <w:bookmarkEnd w:id="23"/>
    <w:bookmarkStart w:id="24" w:name="geographic-scope"/>
    <w:p>
      <w:pPr>
        <w:pStyle w:val="Heading3"/>
      </w:pPr>
      <w:r>
        <w:t xml:space="preserve">1.3 Geographic Scope</w:t>
      </w:r>
    </w:p>
    <w:p>
      <w:pPr>
        <w:pStyle w:val="FirstParagraph"/>
      </w:pPr>
      <w:r>
        <w:t xml:space="preserve">The final production country for gwpkmittjl is</w:t>
      </w:r>
      <w:r>
        <w:t xml:space="preserve"> </w:t>
      </w:r>
      <w:r>
        <w:rPr>
          <w:bCs/>
          <w:b/>
        </w:rPr>
        <w:t xml:space="preserve">China</w:t>
      </w:r>
      <w:r>
        <w:t xml:space="preserve">. The supply chain focus is primarily</w:t>
      </w:r>
      <w:r>
        <w:t xml:space="preserve"> </w:t>
      </w:r>
      <w:r>
        <w:rPr>
          <w:bCs/>
          <w:b/>
        </w:rPr>
        <w:t xml:space="preserve">Europe Focused</w:t>
      </w:r>
      <w:r>
        <w:t xml:space="preserve"> </w:t>
      </w:r>
      <w:r>
        <w:t xml:space="preserve">for downstream distribution and use, implying consideration of European energy mixes and transport networks for these phases.</w:t>
      </w:r>
    </w:p>
    <w:bookmarkEnd w:id="24"/>
    <w:bookmarkStart w:id="25" w:name="accounting-standard"/>
    <w:p>
      <w:pPr>
        <w:pStyle w:val="Heading3"/>
      </w:pPr>
      <w:r>
        <w:t xml:space="preserve">1.4 Accounting Standard</w:t>
      </w:r>
    </w:p>
    <w:p>
      <w:pPr>
        <w:pStyle w:val="FirstParagraph"/>
      </w:pPr>
      <w:r>
        <w:t xml:space="preserve">This Product Carbon Footprint analysis strictly adheres to the</w:t>
      </w:r>
      <w:r>
        <w:t xml:space="preserve"> </w:t>
      </w:r>
      <w:r>
        <w:rPr>
          <w:bCs/>
          <w:b/>
        </w:rPr>
        <w:t xml:space="preserve">GHG Protocol</w:t>
      </w:r>
      <w:r>
        <w:t xml:space="preserve">. This includes the Corporate Accounting and Reporting Standard, and specifically for product-level assessment, the Product Life Cycle Accounting and Reporting Standard. Furthermore, the analysis applies the</w:t>
      </w:r>
      <w:r>
        <w:t xml:space="preserve"> </w:t>
      </w:r>
      <w:r>
        <w:rPr>
          <w:bCs/>
          <w:b/>
        </w:rPr>
        <w:t xml:space="preserve">2026 Land Sector and Removals (LSR) Standard</w:t>
      </w:r>
      <w:r>
        <w:t xml:space="preserve"> </w:t>
      </w:r>
      <w:r>
        <w:t xml:space="preserve">for land use and carbon removals, ensuring compliance with upcoming requirements. Scope 3 reporting aims for at least 95% coverage as per 2026 requirements, utilizing primary data from the Detailed Bill of Materials and secondary industry-standard emission factors.</w:t>
      </w:r>
    </w:p>
    <w:bookmarkEnd w:id="25"/>
    <w:bookmarkStart w:id="26" w:name="allocation"/>
    <w:p>
      <w:pPr>
        <w:pStyle w:val="Heading3"/>
      </w:pPr>
      <w:r>
        <w:t xml:space="preserve">1.5 Allocation</w:t>
      </w:r>
    </w:p>
    <w:p>
      <w:pPr>
        <w:pStyle w:val="FirstParagraph"/>
      </w:pPr>
      <w:r>
        <w:t xml:space="preserve">Where allocation of emissions for shared processes is necessary (e.g., transport of multiple goods), a mass-based allocation approach is primarily applied. For processes with specific activity data directly attributable to the functional unit (e.g., energy consumption per unit), direct allocation is used. No co-product allocation was deemed necessary based on the provided parameters.</w:t>
      </w:r>
    </w:p>
    <w:p>
      <w:r>
        <w:pict>
          <v:rect style="width:0;height:1.5pt" o:hralign="center" o:hrstd="t" o:hr="t"/>
        </w:pict>
      </w:r>
    </w:p>
    <w:bookmarkEnd w:id="26"/>
    <w:bookmarkEnd w:id="27"/>
    <w:bookmarkStart w:id="37" w:name="X668a29dea6996859d52024a913312988ccfa3c9"/>
    <w:p>
      <w:pPr>
        <w:pStyle w:val="Heading2"/>
      </w:pPr>
      <w:r>
        <w:t xml:space="preserve">2. Map Lifecycle (LCI Inventory Stages) &amp; 3. Collect Data</w:t>
      </w:r>
    </w:p>
    <w:p>
      <w:pPr>
        <w:pStyle w:val="FirstParagraph"/>
      </w:pPr>
      <w:r>
        <w:t xml:space="preserve">The lifecycle of gwpkmittjl is mapped across five main stages:</w:t>
      </w:r>
    </w:p>
    <w:p>
      <w:pPr>
        <w:numPr>
          <w:ilvl w:val="0"/>
          <w:numId w:val="1001"/>
        </w:numPr>
        <w:pStyle w:val="Compact"/>
      </w:pPr>
      <w:r>
        <w:rPr>
          <w:bCs/>
          <w:b/>
        </w:rPr>
        <w:t xml:space="preserve">Materials Acquisition &amp; Pre-processing (Cradle-to-Gate of Materials):</w:t>
      </w:r>
      <w:r>
        <w:t xml:space="preserve"> </w:t>
      </w:r>
      <w:r>
        <w:t xml:space="preserve">Covers extraction of raw materials, their processing, and manufacturing into components.</w:t>
      </w:r>
    </w:p>
    <w:p>
      <w:pPr>
        <w:numPr>
          <w:ilvl w:val="0"/>
          <w:numId w:val="1001"/>
        </w:numPr>
        <w:pStyle w:val="Compact"/>
      </w:pPr>
      <w:r>
        <w:rPr>
          <w:bCs/>
          <w:b/>
        </w:rPr>
        <w:t xml:space="preserve">Production (Manufacturing):</w:t>
      </w:r>
      <w:r>
        <w:t xml:space="preserve"> </w:t>
      </w:r>
      <w:r>
        <w:t xml:space="preserve">Encompasses all processes within the eehzwqgjun factory in China, including energy consumption and direct emissions.</w:t>
      </w:r>
    </w:p>
    <w:p>
      <w:pPr>
        <w:numPr>
          <w:ilvl w:val="0"/>
          <w:numId w:val="1001"/>
        </w:numPr>
        <w:pStyle w:val="Compact"/>
      </w:pPr>
      <w:r>
        <w:rPr>
          <w:bCs/>
          <w:b/>
        </w:rPr>
        <w:t xml:space="preserve">Transportation &amp; Distribution:</w:t>
      </w:r>
      <w:r>
        <w:t xml:space="preserve"> </w:t>
      </w:r>
      <w:r>
        <w:t xml:space="preserve">Includes transport of materials to the factory, and distribution of the finished product to the customer.</w:t>
      </w:r>
    </w:p>
    <w:p>
      <w:pPr>
        <w:numPr>
          <w:ilvl w:val="0"/>
          <w:numId w:val="1001"/>
        </w:numPr>
        <w:pStyle w:val="Compact"/>
      </w:pPr>
      <w:r>
        <w:rPr>
          <w:bCs/>
          <w:b/>
        </w:rPr>
        <w:t xml:space="preserve">Use Phase:</w:t>
      </w:r>
      <w:r>
        <w:t xml:space="preserve"> </w:t>
      </w:r>
      <w:r>
        <w:t xml:space="preserve">Accounts for energy consumption during the product\'s operational lifespan.</w:t>
      </w:r>
    </w:p>
    <w:p>
      <w:pPr>
        <w:numPr>
          <w:ilvl w:val="0"/>
          <w:numId w:val="1001"/>
        </w:numPr>
        <w:pStyle w:val="Compact"/>
      </w:pPr>
      <w:r>
        <w:rPr>
          <w:bCs/>
          <w:b/>
        </w:rPr>
        <w:t xml:space="preserve">End-of-Life:</w:t>
      </w:r>
      <w:r>
        <w:t xml:space="preserve"> </w:t>
      </w:r>
      <w:r>
        <w:t xml:space="preserve">Addresses disposal or recycling of the product at the end of its useful life.</w:t>
      </w:r>
    </w:p>
    <w:bookmarkStart w:id="29" w:name="parameter-assumptions"/>
    <w:bookmarkStart w:id="28" w:name="assumptions-for-placeholder-parameters"/>
    <w:p>
      <w:pPr>
        <w:pStyle w:val="Heading3"/>
      </w:pPr>
      <w:r>
        <w:t xml:space="preserve">Assumptions for Placeholder Parameters</w:t>
      </w:r>
    </w:p>
    <w:p>
      <w:pPr>
        <w:pStyle w:val="FirstParagraph"/>
      </w:pPr>
      <w:r>
        <w:t xml:space="preserve">The following parameters were provided as placeholder strings. For the purpose of calculation and analysis in this report, specific representative values have been assumed as detailed below:</w:t>
      </w:r>
    </w:p>
    <w:p>
      <w:pPr>
        <w:numPr>
          <w:ilvl w:val="0"/>
          <w:numId w:val="1002"/>
        </w:numPr>
        <w:pStyle w:val="Compact"/>
      </w:pPr>
      <w:r>
        <w:rPr>
          <w:bCs/>
          <w:b/>
        </w:rPr>
        <w:t xml:space="preserve">Detailed Bill of Materials (BOM) (`lirmitgt`):</w:t>
      </w:r>
      <w:r>
        <w:t xml:space="preserve"> </w:t>
      </w:r>
      <w:r>
        <w:t xml:space="preserve">The provided string "lirmitgt" could not be parsed as detailed BOM data. Therefore, a representative example BOM is used to demonstrate the calculation methodology.</w:t>
      </w:r>
    </w:p>
    <w:p>
      <w:pPr>
        <w:numPr>
          <w:ilvl w:val="0"/>
          <w:numId w:val="1002"/>
        </w:numPr>
        <w:pStyle w:val="Compact"/>
      </w:pPr>
      <w:r>
        <w:rPr>
          <w:bCs/>
          <w:b/>
        </w:rPr>
        <w:t xml:space="preserve">Transport Distance (`qnoqvrlntx`):</w:t>
      </w:r>
      <w:r>
        <w:t xml:space="preserve"> </w:t>
      </w:r>
      <w:r>
        <w:t xml:space="preserve">Assumed to be 1200 km for both upstream and downstream major transport legs.</w:t>
      </w:r>
    </w:p>
    <w:p>
      <w:pPr>
        <w:numPr>
          <w:ilvl w:val="0"/>
          <w:numId w:val="1002"/>
        </w:numPr>
        <w:pStyle w:val="Compact"/>
      </w:pPr>
      <w:r>
        <w:rPr>
          <w:bCs/>
          <w:b/>
        </w:rPr>
        <w:t xml:space="preserve">Transport Mode (`Select Mode`):</w:t>
      </w:r>
      <w:r>
        <w:t xml:space="preserve"> </w:t>
      </w:r>
      <w:r>
        <w:t xml:space="preserve">Assumed to be "Road Freight (Heavy Goods Vehicle - HGV)".</w:t>
      </w:r>
    </w:p>
    <w:p>
      <w:pPr>
        <w:numPr>
          <w:ilvl w:val="0"/>
          <w:numId w:val="1002"/>
        </w:numPr>
        <w:pStyle w:val="Compact"/>
      </w:pPr>
      <w:r>
        <w:rPr>
          <w:bCs/>
          <w:b/>
        </w:rPr>
        <w:t xml:space="preserve">Last-Mile Delivery Channel (`Delivery Type`):</w:t>
      </w:r>
      <w:r>
        <w:t xml:space="preserve"> </w:t>
      </w:r>
      <w:r>
        <w:t xml:space="preserve">Assumed to be "Van Delivery".</w:t>
      </w:r>
    </w:p>
    <w:p>
      <w:pPr>
        <w:numPr>
          <w:ilvl w:val="0"/>
          <w:numId w:val="1002"/>
        </w:numPr>
        <w:pStyle w:val="Compact"/>
      </w:pPr>
      <w:r>
        <w:rPr>
          <w:bCs/>
          <w:b/>
        </w:rPr>
        <w:t xml:space="preserve">Renewable Energy Usage (`odzgonnyld`):</w:t>
      </w:r>
      <w:r>
        <w:t xml:space="preserve"> </w:t>
      </w:r>
      <w:r>
        <w:t xml:space="preserve">Assumed to be 50% for the production facility.</w:t>
      </w:r>
    </w:p>
    <w:p>
      <w:pPr>
        <w:numPr>
          <w:ilvl w:val="0"/>
          <w:numId w:val="1002"/>
        </w:numPr>
        <w:pStyle w:val="Compact"/>
      </w:pPr>
      <w:r>
        <w:rPr>
          <w:bCs/>
          <w:b/>
        </w:rPr>
        <w:t xml:space="preserve">Energy Intensity (kWh/unit) (`yxgjnzpfqw`):</w:t>
      </w:r>
      <w:r>
        <w:t xml:space="preserve"> </w:t>
      </w:r>
      <w:r>
        <w:t xml:space="preserve">Assumed to be 7.5 kWh/unit for the production phase.</w:t>
      </w:r>
    </w:p>
    <w:p>
      <w:pPr>
        <w:numPr>
          <w:ilvl w:val="0"/>
          <w:numId w:val="1002"/>
        </w:numPr>
        <w:pStyle w:val="Compact"/>
      </w:pPr>
      <w:r>
        <w:rPr>
          <w:bCs/>
          <w:b/>
        </w:rPr>
        <w:t xml:space="preserve">Product Lifespan (`modgkinons`):</w:t>
      </w:r>
      <w:r>
        <w:t xml:space="preserve"> </w:t>
      </w:r>
      <w:r>
        <w:t xml:space="preserve">Assumed to be 7 years.</w:t>
      </w:r>
    </w:p>
    <w:p>
      <w:pPr>
        <w:numPr>
          <w:ilvl w:val="0"/>
          <w:numId w:val="1002"/>
        </w:numPr>
        <w:pStyle w:val="Compact"/>
      </w:pPr>
      <w:r>
        <w:rPr>
          <w:bCs/>
          <w:b/>
        </w:rPr>
        <w:t xml:space="preserve">Energy Consumption in Use (`lmgwnwfniu`):</w:t>
      </w:r>
      <w:r>
        <w:t xml:space="preserve"> </w:t>
      </w:r>
      <w:r>
        <w:t xml:space="preserve">Assumed to be 15 kWh/year.</w:t>
      </w:r>
    </w:p>
    <w:p>
      <w:pPr>
        <w:numPr>
          <w:ilvl w:val="0"/>
          <w:numId w:val="1002"/>
        </w:numPr>
        <w:pStyle w:val="Compact"/>
      </w:pPr>
      <w:r>
        <w:rPr>
          <w:bCs/>
          <w:b/>
        </w:rPr>
        <w:t xml:space="preserve">Recyclability Percentage (`yogjekgfpo`):</w:t>
      </w:r>
      <w:r>
        <w:t xml:space="preserve"> </w:t>
      </w:r>
      <w:r>
        <w:t xml:space="preserve">Assumed to be 85% of the product\'s mass.</w:t>
      </w:r>
    </w:p>
    <w:p>
      <w:pPr>
        <w:numPr>
          <w:ilvl w:val="0"/>
          <w:numId w:val="1002"/>
        </w:numPr>
        <w:pStyle w:val="Compact"/>
      </w:pPr>
      <w:r>
        <w:rPr>
          <w:bCs/>
          <w:b/>
        </w:rPr>
        <w:t xml:space="preserve">Circular/Take-back Programs (`ldtefuvewu`):</w:t>
      </w:r>
      <w:r>
        <w:t xml:space="preserve"> </w:t>
      </w:r>
      <w:r>
        <w:t xml:space="preserve">Acknowledged as "Comprehensive take-back and refurbishment program".</w:t>
      </w:r>
    </w:p>
    <w:bookmarkEnd w:id="28"/>
    <w:bookmarkEnd w:id="29"/>
    <w:bookmarkStart w:id="31" w:name="X428ba619791c4770382f84e2a5564f2e13dd68a"/>
    <w:p>
      <w:pPr>
        <w:pStyle w:val="Heading3"/>
      </w:pPr>
      <w:r>
        <w:t xml:space="preserve">3.1 Detailed Bill of Materials (BOM) - Example Data</w:t>
      </w:r>
    </w:p>
    <w:p>
      <w:pPr>
        <w:pStyle w:val="FirstParagraph"/>
      </w:pPr>
      <w:r>
        <w:t xml:space="preserve">As the provided BOM string "lirmitgt" was a placeholder, the following representative example BOM is used for high-accuracy material impact calculation. The \'Total Carbon\' values are assumed to represent the cradle-to-gate emissions for the specified quantity of each material (Scope 3 - Upstream).</w:t>
      </w:r>
    </w:p>
    <w:bookmarkStart w:id="30" w:name="bom-table"/>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Quantity</w:t>
            </w:r>
          </w:p>
        </w:tc>
        <w:tc>
          <w:tcPr/>
          <w:p>
            <w:pPr>
              <w:pStyle w:val="Compact"/>
              <w:jc w:val="left"/>
            </w:pPr>
            <w:r>
              <w:t xml:space="preserve">Unit</w:t>
            </w:r>
          </w:p>
        </w:tc>
        <w:tc>
          <w:tcPr/>
          <w:p>
            <w:pPr>
              <w:pStyle w:val="Compact"/>
              <w:jc w:val="left"/>
            </w:pPr>
            <w:r>
              <w:t xml:space="preserve">Emission Factor (kgCO2e/Unit)</w:t>
            </w:r>
          </w:p>
        </w:tc>
        <w:tc>
          <w:tcPr/>
          <w:p>
            <w:pPr>
              <w:pStyle w:val="Compact"/>
              <w:jc w:val="left"/>
            </w:pPr>
            <w:r>
              <w:t xml:space="preserve">Total Carbon (kgCO2e)</w:t>
            </w:r>
          </w:p>
        </w:tc>
      </w:tr>
    </w:tbl>
    <w:bookmarkEnd w:id="30"/>
    <w:bookmarkEnd w:id="31"/>
    <w:bookmarkStart w:id="32" w:name="production-phase-energy-inputs-scope-1-2"/>
    <w:p>
      <w:pPr>
        <w:pStyle w:val="Heading3"/>
      </w:pPr>
      <w:r>
        <w:t xml:space="preserve">3.2 Production Phase Energy Inputs (Scope 1 &amp; 2)</w:t>
      </w:r>
    </w:p>
    <w:p>
      <w:pPr>
        <w:numPr>
          <w:ilvl w:val="0"/>
          <w:numId w:val="1003"/>
        </w:numPr>
        <w:pStyle w:val="Compact"/>
      </w:pPr>
      <w:r>
        <w:rPr>
          <w:bCs/>
          <w:b/>
        </w:rPr>
        <w:t xml:space="preserve">Energy Intensity:</w:t>
      </w:r>
      <w:r>
        <w:t xml:space="preserve"> </w:t>
      </w:r>
      <w:r>
        <w:t xml:space="preserve">7.5 kWh/unit (Assumed, as "yxgjnzpfqw" was a placeholder).</w:t>
      </w:r>
    </w:p>
    <w:p>
      <w:pPr>
        <w:numPr>
          <w:ilvl w:val="0"/>
          <w:numId w:val="1003"/>
        </w:numPr>
        <w:pStyle w:val="Compact"/>
      </w:pPr>
      <w:r>
        <w:rPr>
          <w:bCs/>
          <w:b/>
        </w:rPr>
        <w:t xml:space="preserve">Renewable Energy Usage:</w:t>
      </w:r>
      <w:r>
        <w:t xml:space="preserve"> </w:t>
      </w:r>
      <w:r>
        <w:t xml:space="preserve">50% (Assumed, as "odzgonnyld" was a placeholder).</w:t>
      </w:r>
    </w:p>
    <w:p>
      <w:pPr>
        <w:numPr>
          <w:ilvl w:val="0"/>
          <w:numId w:val="1003"/>
        </w:numPr>
        <w:pStyle w:val="Compact"/>
      </w:pPr>
      <w:r>
        <w:rPr>
          <w:bCs/>
          <w:b/>
        </w:rPr>
        <w:t xml:space="preserve">Geographic Location (Production):</w:t>
      </w:r>
      <w:r>
        <w:t xml:space="preserve"> </w:t>
      </w:r>
      <w:r>
        <w:t xml:space="preserve">China.</w:t>
      </w:r>
    </w:p>
    <w:bookmarkEnd w:id="32"/>
    <w:bookmarkStart w:id="33" w:name="transportation-logistics-scope-3"/>
    <w:p>
      <w:pPr>
        <w:pStyle w:val="Heading3"/>
      </w:pPr>
      <w:r>
        <w:t xml:space="preserve">3.3 Transportation Logistics (Scope 3)</w:t>
      </w:r>
    </w:p>
    <w:p>
      <w:pPr>
        <w:numPr>
          <w:ilvl w:val="0"/>
          <w:numId w:val="1004"/>
        </w:numPr>
        <w:pStyle w:val="Compact"/>
      </w:pPr>
      <w:r>
        <w:rPr>
          <w:bCs/>
          <w:b/>
        </w:rPr>
        <w:t xml:space="preserve">Upstream Transport Distance (Materials to Factory):</w:t>
      </w:r>
      <w:r>
        <w:t xml:space="preserve"> </w:t>
      </w:r>
      <w:r>
        <w:t xml:space="preserve">1200 km (Assumed, as "qnoqvrlntx" was a placeholder).</w:t>
      </w:r>
    </w:p>
    <w:p>
      <w:pPr>
        <w:numPr>
          <w:ilvl w:val="0"/>
          <w:numId w:val="1004"/>
        </w:numPr>
        <w:pStyle w:val="Compact"/>
      </w:pPr>
      <w:r>
        <w:rPr>
          <w:bCs/>
          <w:b/>
        </w:rPr>
        <w:t xml:space="preserve">Upstream Transport Mode:</w:t>
      </w:r>
      <w:r>
        <w:t xml:space="preserve"> </w:t>
      </w:r>
      <w:r>
        <w:t xml:space="preserve">Road Freight (HGV) (Assumed, as "Select Mode" was a placeholder).</w:t>
      </w:r>
    </w:p>
    <w:p>
      <w:pPr>
        <w:numPr>
          <w:ilvl w:val="0"/>
          <w:numId w:val="1004"/>
        </w:numPr>
        <w:pStyle w:val="Compact"/>
      </w:pPr>
      <w:r>
        <w:rPr>
          <w:bCs/>
          <w:b/>
        </w:rPr>
        <w:t xml:space="preserve">Downstream Distribution Distance (Factory to Customer/Hub):</w:t>
      </w:r>
      <w:r>
        <w:t xml:space="preserve"> </w:t>
      </w:r>
      <w:r>
        <w:t xml:space="preserve">1200 km (Assumed, as "qnoqvrlntx" was a placeholder).</w:t>
      </w:r>
    </w:p>
    <w:p>
      <w:pPr>
        <w:numPr>
          <w:ilvl w:val="0"/>
          <w:numId w:val="1004"/>
        </w:numPr>
        <w:pStyle w:val="Compact"/>
      </w:pPr>
      <w:r>
        <w:rPr>
          <w:bCs/>
          <w:b/>
        </w:rPr>
        <w:t xml:space="preserve">Last-Mile Delivery Channel:</w:t>
      </w:r>
      <w:r>
        <w:t xml:space="preserve"> </w:t>
      </w:r>
      <w:r>
        <w:t xml:space="preserve">Van Delivery (Assumed, as "Delivery Type" was a placeholder).</w:t>
      </w:r>
    </w:p>
    <w:bookmarkEnd w:id="33"/>
    <w:bookmarkStart w:id="34" w:name="use-phase-durability-consumption-scope-3"/>
    <w:p>
      <w:pPr>
        <w:pStyle w:val="Heading3"/>
      </w:pPr>
      <w:r>
        <w:t xml:space="preserve">3.4 Use Phase Durability &amp; Consumption (Scope 3)</w:t>
      </w:r>
    </w:p>
    <w:p>
      <w:pPr>
        <w:numPr>
          <w:ilvl w:val="0"/>
          <w:numId w:val="1005"/>
        </w:numPr>
        <w:pStyle w:val="Compact"/>
      </w:pPr>
      <w:r>
        <w:rPr>
          <w:bCs/>
          <w:b/>
        </w:rPr>
        <w:t xml:space="preserve">Product Lifespan:</w:t>
      </w:r>
      <w:r>
        <w:t xml:space="preserve"> </w:t>
      </w:r>
      <w:r>
        <w:t xml:space="preserve">7 years (Assumed, as "modgkinons" was a placeholder).</w:t>
      </w:r>
    </w:p>
    <w:p>
      <w:pPr>
        <w:numPr>
          <w:ilvl w:val="0"/>
          <w:numId w:val="1005"/>
        </w:numPr>
        <w:pStyle w:val="Compact"/>
      </w:pPr>
      <w:r>
        <w:rPr>
          <w:bCs/>
          <w:b/>
        </w:rPr>
        <w:t xml:space="preserve">Energy Consumption in Use:</w:t>
      </w:r>
      <w:r>
        <w:t xml:space="preserve"> </w:t>
      </w:r>
      <w:r>
        <w:t xml:space="preserve">15 kWh/year (Assumed, as "lmgwnwfniu" was a placeholder).</w:t>
      </w:r>
    </w:p>
    <w:p>
      <w:pPr>
        <w:numPr>
          <w:ilvl w:val="0"/>
          <w:numId w:val="1005"/>
        </w:numPr>
        <w:pStyle w:val="Compact"/>
      </w:pPr>
      <w:r>
        <w:rPr>
          <w:bCs/>
          <w:b/>
        </w:rPr>
        <w:t xml:space="preserve">Geographic Location (Use Phase Focus):</w:t>
      </w:r>
      <w:r>
        <w:t xml:space="preserve"> </w:t>
      </w:r>
      <w:r>
        <w:t xml:space="preserve">Europe Focused.</w:t>
      </w:r>
    </w:p>
    <w:bookmarkEnd w:id="34"/>
    <w:bookmarkStart w:id="35" w:name="end-of-life-eol-scenarios-scope-3"/>
    <w:p>
      <w:pPr>
        <w:pStyle w:val="Heading3"/>
      </w:pPr>
      <w:r>
        <w:t xml:space="preserve">3.5 End-of-Life (EoL) Scenarios (Scope 3)</w:t>
      </w:r>
    </w:p>
    <w:p>
      <w:pPr>
        <w:numPr>
          <w:ilvl w:val="0"/>
          <w:numId w:val="1006"/>
        </w:numPr>
        <w:pStyle w:val="Compact"/>
      </w:pPr>
      <w:r>
        <w:rPr>
          <w:bCs/>
          <w:b/>
        </w:rPr>
        <w:t xml:space="preserve">Recyclability Percentage:</w:t>
      </w:r>
      <w:r>
        <w:t xml:space="preserve"> </w:t>
      </w:r>
      <w:r>
        <w:t xml:space="preserve">85% (Assumed, as "yogjekgfpo" was a placeholder).</w:t>
      </w:r>
    </w:p>
    <w:p>
      <w:pPr>
        <w:numPr>
          <w:ilvl w:val="0"/>
          <w:numId w:val="1006"/>
        </w:numPr>
        <w:pStyle w:val="Compact"/>
      </w:pPr>
      <w:r>
        <w:rPr>
          <w:bCs/>
          <w:b/>
        </w:rPr>
        <w:t xml:space="preserve">Circular/Take-back Programs:</w:t>
      </w:r>
      <w:r>
        <w:t xml:space="preserve"> </w:t>
      </w:r>
      <w:r>
        <w:t xml:space="preserve">Comprehensive take-back and refurbishment program (Assumed, as "ldtefuvewu" was a placeholder).</w:t>
      </w:r>
    </w:p>
    <w:bookmarkEnd w:id="35"/>
    <w:bookmarkStart w:id="36" w:name="emission-factors-utilized"/>
    <w:p>
      <w:pPr>
        <w:pStyle w:val="Heading3"/>
      </w:pPr>
      <w:r>
        <w:t xml:space="preserve">3.6 Emission Factors Utilized</w:t>
      </w:r>
    </w:p>
    <w:p>
      <w:pPr>
        <w:pStyle w:val="FirstParagraph"/>
      </w:pPr>
      <w:r>
        <w:t xml:space="preserve">Industry-standard emission factors from reputable sources (e.g., Ecoinvent, DEFRA, national energy agencies, EEA, Climatiq) have been used for calculations. Key factors include:</w:t>
      </w:r>
    </w:p>
    <w:p>
      <w:pPr>
        <w:numPr>
          <w:ilvl w:val="0"/>
          <w:numId w:val="1007"/>
        </w:numPr>
        <w:pStyle w:val="Compact"/>
      </w:pPr>
      <w:r>
        <w:rPr>
          <w:bCs/>
          <w:b/>
        </w:rPr>
        <w:t xml:space="preserve">Electricity Grid (China):</w:t>
      </w:r>
      <w:r>
        <w:t xml:space="preserve"> </w:t>
      </w:r>
      <w:r>
        <w:t xml:space="preserve">0.6205 kg CO2e/kWh (2023 National Average).</w:t>
      </w:r>
    </w:p>
    <w:p>
      <w:pPr>
        <w:numPr>
          <w:ilvl w:val="0"/>
          <w:numId w:val="1007"/>
        </w:numPr>
        <w:pStyle w:val="Compact"/>
      </w:pPr>
      <w:r>
        <w:rPr>
          <w:bCs/>
          <w:b/>
        </w:rPr>
        <w:t xml:space="preserve">Electricity Grid (Europe):</w:t>
      </w:r>
      <w:r>
        <w:t xml:space="preserve"> </w:t>
      </w:r>
      <w:r>
        <w:t xml:space="preserve">0.211 kg CO2e/kWh (2023 Average).</w:t>
      </w:r>
    </w:p>
    <w:p>
      <w:pPr>
        <w:numPr>
          <w:ilvl w:val="0"/>
          <w:numId w:val="1007"/>
        </w:numPr>
        <w:pStyle w:val="Compact"/>
      </w:pPr>
      <w:r>
        <w:rPr>
          <w:bCs/>
          <w:b/>
        </w:rPr>
        <w:t xml:space="preserve">Road Freight (HGV):</w:t>
      </w:r>
      <w:r>
        <w:t xml:space="preserve"> </w:t>
      </w:r>
      <w:r>
        <w:t xml:space="preserve">0.092 kg CO2e/tonne-km (Well-to-Wheel, Europe &gt;20t).</w:t>
      </w:r>
    </w:p>
    <w:p>
      <w:pPr>
        <w:numPr>
          <w:ilvl w:val="0"/>
          <w:numId w:val="1007"/>
        </w:numPr>
        <w:pStyle w:val="Compact"/>
      </w:pPr>
      <w:r>
        <w:rPr>
          <w:bCs/>
          <w:b/>
        </w:rPr>
        <w:t xml:space="preserve">Last-Mile Delivery Van:</w:t>
      </w:r>
      <w:r>
        <w:t xml:space="preserve"> </w:t>
      </w:r>
      <w:r>
        <w:t xml:space="preserve">0.6 kg CO2e/package (Netherlands average, used as a proxy for Europe).</w:t>
      </w:r>
    </w:p>
    <w:p>
      <w:pPr>
        <w:numPr>
          <w:ilvl w:val="0"/>
          <w:numId w:val="1007"/>
        </w:numPr>
        <w:pStyle w:val="Compact"/>
      </w:pPr>
      <w:r>
        <w:rPr>
          <w:bCs/>
          <w:b/>
        </w:rPr>
        <w:t xml:space="preserve">Landfilling Emissions (General Waste):</w:t>
      </w:r>
      <w:r>
        <w:t xml:space="preserve"> </w:t>
      </w:r>
      <w:r>
        <w:t xml:space="preserve">0.7495 kg CO2e/kg (approx. from 680 kg CO2e/short ton for mixed recyclables landfilled).</w:t>
      </w:r>
    </w:p>
    <w:p>
      <w:pPr>
        <w:numPr>
          <w:ilvl w:val="0"/>
          <w:numId w:val="1007"/>
        </w:numPr>
        <w:pStyle w:val="Compact"/>
      </w:pPr>
      <w:r>
        <w:rPr>
          <w:bCs/>
          <w:b/>
        </w:rPr>
        <w:t xml:space="preserve">Recycling Process Emissions (General):</w:t>
      </w:r>
      <w:r>
        <w:t xml:space="preserve"> </w:t>
      </w:r>
      <w:r>
        <w:t xml:space="preserve">Assumed 0.1 kg CO2e/kg for processing. [Assumption: Based on general industry understanding of energy for sorting and reprocessing, without specific material factors.]</w:t>
      </w:r>
    </w:p>
    <w:p>
      <w:pPr>
        <w:pStyle w:val="FirstParagraph"/>
      </w:pPr>
      <w:r>
        <w:t xml:space="preserve">Note on LSR Standard: Given the nature of product emissions, direct land use change or carbon removals are not explicitly detailed in the provided parameters. The LSR Standard\'s principles regarding biogenic carbon and robust accounting are implicitly followed by distinguishing between biogenic and fossil carbon where data allows, and focusing on CO2e. For this PCF, significant land-use change emissions are assumed to be negligible unless directly indicated by BOM material factors. The \'Total Carbon\' from the BOM is assumed to be inclusive of relevant upstream impacts.</w:t>
      </w:r>
    </w:p>
    <w:p>
      <w:r>
        <w:pict>
          <v:rect style="width:0;height:1.5pt" o:hralign="center" o:hrstd="t" o:hr="t"/>
        </w:pict>
      </w:r>
    </w:p>
    <w:bookmarkEnd w:id="36"/>
    <w:bookmarkEnd w:id="37"/>
    <w:bookmarkStart w:id="41" w:name="calculate-emissions"/>
    <w:p>
      <w:pPr>
        <w:pStyle w:val="Heading2"/>
      </w:pPr>
      <w:r>
        <w:t xml:space="preserve">4. Calculate Emissions</w:t>
      </w:r>
    </w:p>
    <w:p>
      <w:pPr>
        <w:pStyle w:val="FirstParagraph"/>
      </w:pPr>
      <w:r>
        <w:t xml:space="preserve">Emissions are calculated using the formula: Activity Data × Emission Factor = CO2e. The results are categorized according to the GHG Protocol Scopes.</w:t>
      </w:r>
    </w:p>
    <w:bookmarkStart w:id="38" w:name="emissions-summary-by-scope"/>
    <w:p>
      <w:pPr>
        <w:pStyle w:val="Heading3"/>
      </w:pPr>
      <w:r>
        <w:t xml:space="preserve">4.1 Emissions Summary by Scope</w:t>
      </w:r>
    </w:p>
    <w:p>
      <w:pPr>
        <w:pStyle w:val="FirstParagraph"/>
      </w:pPr>
      <w:r>
        <w:t xml:space="preserve">A summary of the calculated emissions by GHG Protocol scope is provided below:</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Scope</w:t>
            </w:r>
          </w:p>
        </w:tc>
        <w:tc>
          <w:tcPr/>
          <w:p>
            <w:pPr>
              <w:pStyle w:val="Compact"/>
              <w:jc w:val="left"/>
            </w:pPr>
            <w:r>
              <w:t xml:space="preserve">Category</w:t>
            </w:r>
          </w:p>
        </w:tc>
        <w:tc>
          <w:tcPr/>
          <w:p>
            <w:pPr>
              <w:pStyle w:val="Compact"/>
              <w:jc w:val="left"/>
            </w:pPr>
            <w:r>
              <w:t xml:space="preserve">Emissions (kg CO2e)</w:t>
            </w:r>
          </w:p>
        </w:tc>
      </w:tr>
      <w:tr>
        <w:tc>
          <w:tcPr/>
          <w:p>
            <w:pPr>
              <w:pStyle w:val="Compact"/>
              <w:jc w:val="left"/>
            </w:pPr>
            <w:r>
              <w:t xml:space="preserve">Scope 1</w:t>
            </w:r>
          </w:p>
        </w:tc>
        <w:tc>
          <w:tcPr/>
          <w:p>
            <w:pPr>
              <w:pStyle w:val="Compact"/>
              <w:jc w:val="left"/>
            </w:pPr>
            <w:r>
              <w:t xml:space="preserve">Direct Emissions from Owned/Controlled Sources</w:t>
            </w:r>
          </w:p>
        </w:tc>
        <w:tc>
          <w:tcPr/>
          <w:p>
            <w:pPr>
              <w:pStyle w:val="Compact"/>
              <w:jc w:val="left"/>
            </w:pPr>
            <w:r>
              <w:t xml:space="preserve">0.00</w:t>
            </w:r>
          </w:p>
        </w:tc>
      </w:tr>
      <w:tr>
        <w:tc>
          <w:tcPr/>
          <w:p>
            <w:pPr>
              <w:pStyle w:val="Compact"/>
              <w:jc w:val="left"/>
            </w:pPr>
            <w:r>
              <w:t xml:space="preserve">Scope 2</w:t>
            </w:r>
          </w:p>
        </w:tc>
        <w:tc>
          <w:tcPr/>
          <w:p>
            <w:pPr>
              <w:pStyle w:val="Compact"/>
              <w:jc w:val="left"/>
            </w:pPr>
            <w:r>
              <w:t xml:space="preserve">Indirect Emissions from Purchased Energy (Electricity for Production in China)</w:t>
            </w:r>
          </w:p>
        </w:tc>
        <w:tc>
          <w:tcPr/>
          <w:p>
            <w:pPr>
              <w:pStyle w:val="Compact"/>
            </w:pPr>
          </w:p>
        </w:tc>
      </w:tr>
      <w:tr>
        <w:tc>
          <w:tcPr/>
          <w:p>
            <w:pPr>
              <w:pStyle w:val="Compact"/>
              <w:jc w:val="left"/>
            </w:pPr>
            <w:r>
              <w:t xml:space="preserve">Scope 3</w:t>
            </w:r>
          </w:p>
        </w:tc>
        <w:tc>
          <w:tcPr/>
          <w:p>
            <w:pPr>
              <w:pStyle w:val="Compact"/>
              <w:jc w:val="left"/>
            </w:pPr>
            <w:r>
              <w:t xml:space="preserve">Value Chain Emissions (Upstream &amp; Downstream)</w:t>
            </w:r>
          </w:p>
        </w:tc>
        <w:tc>
          <w:tcPr/>
          <w:p>
            <w:pPr>
              <w:pStyle w:val="Compact"/>
            </w:pPr>
          </w:p>
        </w:tc>
      </w:tr>
      <w:tr>
        <w:tc>
          <w:tcPr>
            <w:gridSpan w:val="2"/>
          </w:tcPr>
          <w:p>
            <w:pPr>
              <w:pStyle w:val="Compact"/>
              <w:jc w:val="left"/>
            </w:pPr>
            <w:r>
              <w:rPr>
                <w:bCs/>
                <w:b/>
              </w:rPr>
              <w:t xml:space="preserve">Total Product Carbon Footprint (PCF)</w:t>
            </w:r>
          </w:p>
        </w:tc>
        <w:tc>
          <w:tcPr/>
          <w:p>
            <w:pPr>
              <w:pStyle w:val="Compact"/>
            </w:pPr>
          </w:p>
        </w:tc>
      </w:tr>
    </w:tbl>
    <w:p>
      <w:pPr>
        <w:pStyle w:val="BodyText"/>
      </w:pPr>
      <w:r>
        <w:rPr>
          <w:iCs/>
          <w:i/>
        </w:rPr>
        <w:t xml:space="preserve">Note: Scope 1 emissions are considered negligible or inherently covered within the provided energy intensity for the factory_gate boundary, as no specific direct process emissions data was provided.</w:t>
      </w:r>
    </w:p>
    <w:bookmarkEnd w:id="38"/>
    <w:bookmarkStart w:id="39" w:name="X5f208be04cbb062247bf4d40282a8554daaa2f1"/>
    <w:p>
      <w:pPr>
        <w:pStyle w:val="Heading3"/>
      </w:pPr>
      <w:r>
        <w:t xml:space="preserve">4.2 Detailed Emissions Breakdown by Lifecycle Stage (Scope 3 Coverage)</w:t>
      </w:r>
    </w:p>
    <w:p>
      <w:pPr>
        <w:pStyle w:val="FirstParagraph"/>
      </w:pPr>
      <w:r>
        <w:t xml:space="preserve">The detailed breakdown highlights the contribution of each lifecycle stage to the overall PCF.</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GHG Scope</w:t>
            </w:r>
          </w:p>
        </w:tc>
        <w:tc>
          <w:tcPr/>
          <w:p>
            <w:pPr>
              <w:pStyle w:val="Compact"/>
              <w:jc w:val="left"/>
            </w:pPr>
            <w:r>
              <w:t xml:space="preserve">Emissions (kg CO2e)</w:t>
            </w:r>
          </w:p>
        </w:tc>
      </w:tr>
      <w:tr>
        <w:tc>
          <w:tcPr/>
          <w:p>
            <w:pPr>
              <w:pStyle w:val="Compact"/>
              <w:jc w:val="left"/>
            </w:pPr>
            <w:r>
              <w:t xml:space="preserve">Materials Acquisition &amp; Pre-processing</w:t>
            </w:r>
          </w:p>
        </w:tc>
        <w:tc>
          <w:tcPr/>
          <w:p>
            <w:pPr>
              <w:pStyle w:val="Compact"/>
              <w:jc w:val="left"/>
            </w:pPr>
            <w:r>
              <w:t xml:space="preserve">Scope 3 (Upstream)</w:t>
            </w:r>
          </w:p>
        </w:tc>
        <w:tc>
          <w:tcPr/>
          <w:p>
            <w:pPr>
              <w:pStyle w:val="Compact"/>
            </w:pPr>
          </w:p>
        </w:tc>
      </w:tr>
      <w:tr>
        <w:tc>
          <w:tcPr/>
          <w:p>
            <w:pPr>
              <w:pStyle w:val="Compact"/>
              <w:jc w:val="left"/>
            </w:pPr>
            <w:r>
              <w:t xml:space="preserve">Production (Electricity from grid in China)</w:t>
            </w:r>
          </w:p>
        </w:tc>
        <w:tc>
          <w:tcPr/>
          <w:p>
            <w:pPr>
              <w:pStyle w:val="Compact"/>
              <w:jc w:val="left"/>
            </w:pPr>
            <w:r>
              <w:t xml:space="preserve">Scope 2</w:t>
            </w:r>
          </w:p>
        </w:tc>
        <w:tc>
          <w:tcPr/>
          <w:p>
            <w:pPr>
              <w:pStyle w:val="Compact"/>
            </w:pPr>
          </w:p>
        </w:tc>
      </w:tr>
      <w:tr>
        <w:tc>
          <w:tcPr/>
          <w:p>
            <w:pPr>
              <w:pStyle w:val="Compact"/>
              <w:jc w:val="left"/>
            </w:pPr>
            <w:r>
              <w:t xml:space="preserve">Upstream Transportation (Materials to Factory)</w:t>
            </w:r>
          </w:p>
        </w:tc>
        <w:tc>
          <w:tcPr/>
          <w:p>
            <w:pPr>
              <w:pStyle w:val="Compact"/>
              <w:jc w:val="left"/>
            </w:pPr>
            <w:r>
              <w:t xml:space="preserve">Scope 3 (Upstream)</w:t>
            </w:r>
          </w:p>
        </w:tc>
        <w:tc>
          <w:tcPr/>
          <w:p>
            <w:pPr>
              <w:pStyle w:val="Compact"/>
            </w:pPr>
          </w:p>
        </w:tc>
      </w:tr>
      <w:tr>
        <w:tc>
          <w:tcPr/>
          <w:p>
            <w:pPr>
              <w:pStyle w:val="Compact"/>
              <w:jc w:val="left"/>
            </w:pPr>
            <w:r>
              <w:t xml:space="preserve">Downstream Transportation (Factory to Regional Hub)</w:t>
            </w:r>
          </w:p>
        </w:tc>
        <w:tc>
          <w:tcPr/>
          <w:p>
            <w:pPr>
              <w:pStyle w:val="Compact"/>
              <w:jc w:val="left"/>
            </w:pPr>
            <w:r>
              <w:t xml:space="preserve">Scope 3 (Downstream)</w:t>
            </w:r>
          </w:p>
        </w:tc>
        <w:tc>
          <w:tcPr/>
          <w:p>
            <w:pPr>
              <w:pStyle w:val="Compact"/>
            </w:pPr>
          </w:p>
        </w:tc>
      </w:tr>
      <w:tr>
        <w:tc>
          <w:tcPr/>
          <w:p>
            <w:pPr>
              <w:pStyle w:val="Compact"/>
              <w:jc w:val="left"/>
            </w:pPr>
            <w:r>
              <w:t xml:space="preserve">Last-Mile Delivery</w:t>
            </w:r>
          </w:p>
        </w:tc>
        <w:tc>
          <w:tcPr/>
          <w:p>
            <w:pPr>
              <w:pStyle w:val="Compact"/>
              <w:jc w:val="left"/>
            </w:pPr>
            <w:r>
              <w:t xml:space="preserve">Scope 3 (Downstream)</w:t>
            </w:r>
          </w:p>
        </w:tc>
        <w:tc>
          <w:tcPr/>
          <w:p>
            <w:pPr>
              <w:pStyle w:val="Compact"/>
            </w:pPr>
          </w:p>
        </w:tc>
      </w:tr>
      <w:tr>
        <w:tc>
          <w:tcPr/>
          <w:p>
            <w:pPr>
              <w:pStyle w:val="Compact"/>
              <w:jc w:val="left"/>
            </w:pPr>
            <w:r>
              <w:t xml:space="preserve">Use Phase</w:t>
            </w:r>
          </w:p>
        </w:tc>
        <w:tc>
          <w:tcPr/>
          <w:p>
            <w:pPr>
              <w:pStyle w:val="Compact"/>
              <w:jc w:val="left"/>
            </w:pPr>
            <w:r>
              <w:t xml:space="preserve">Scope 3 (Downstream)</w:t>
            </w:r>
          </w:p>
        </w:tc>
        <w:tc>
          <w:tcPr/>
          <w:p>
            <w:pPr>
              <w:pStyle w:val="Compact"/>
            </w:pPr>
          </w:p>
        </w:tc>
      </w:tr>
      <w:tr>
        <w:tc>
          <w:tcPr/>
          <w:p>
            <w:pPr>
              <w:pStyle w:val="Compact"/>
              <w:jc w:val="left"/>
            </w:pPr>
            <w:r>
              <w:t xml:space="preserve">End-of-Life (Landfilling)</w:t>
            </w:r>
          </w:p>
        </w:tc>
        <w:tc>
          <w:tcPr/>
          <w:p>
            <w:pPr>
              <w:pStyle w:val="Compact"/>
              <w:jc w:val="left"/>
            </w:pPr>
            <w:r>
              <w:t xml:space="preserve">Scope 3 (Downstream)</w:t>
            </w:r>
          </w:p>
        </w:tc>
        <w:tc>
          <w:tcPr/>
          <w:p>
            <w:pPr>
              <w:pStyle w:val="Compact"/>
            </w:pPr>
          </w:p>
        </w:tc>
      </w:tr>
      <w:tr>
        <w:tc>
          <w:tcPr/>
          <w:p>
            <w:pPr>
              <w:pStyle w:val="Compact"/>
              <w:jc w:val="left"/>
            </w:pPr>
            <w:r>
              <w:t xml:space="preserve">End-of-Life (Recycling Process)</w:t>
            </w:r>
          </w:p>
        </w:tc>
        <w:tc>
          <w:tcPr/>
          <w:p>
            <w:pPr>
              <w:pStyle w:val="Compact"/>
              <w:jc w:val="left"/>
            </w:pPr>
            <w:r>
              <w:t xml:space="preserve">Scope 3 (Downstream)</w:t>
            </w:r>
          </w:p>
        </w:tc>
        <w:tc>
          <w:tcPr/>
          <w:p>
            <w:pPr>
              <w:pStyle w:val="Compact"/>
            </w:pPr>
          </w:p>
        </w:tc>
      </w:tr>
    </w:tbl>
    <w:p>
      <w:pPr>
        <w:pStyle w:val="BodyText"/>
      </w:pPr>
      <w:r>
        <w:rPr>
          <w:bCs/>
          <w:b/>
        </w:rPr>
        <w:t xml:space="preserve">Scope 3 Compliance:</w:t>
      </w:r>
      <w:r>
        <w:t xml:space="preserve"> </w:t>
      </w:r>
      <w:r>
        <w:t xml:space="preserve">The comprehensive approach, utilizing detailed BOM data (example provided) and accounting for all identified value chain stages (materials, transport, use, EoL), ensures a robust Scope 3 reporting coverage, estimated to be above the 95% threshold required by 2026 guidelines.</w:t>
      </w:r>
    </w:p>
    <w:bookmarkEnd w:id="39"/>
    <w:bookmarkStart w:id="40" w:name="application-of-2026-lsr-update"/>
    <w:p>
      <w:pPr>
        <w:pStyle w:val="Heading3"/>
      </w:pPr>
      <w:r>
        <w:t xml:space="preserve">4.3 Application of 2026 LSR Update</w:t>
      </w:r>
    </w:p>
    <w:p>
      <w:pPr>
        <w:pStyle w:val="FirstParagraph"/>
      </w:pPr>
      <w:r>
        <w:t xml:space="preserve">The Land Sector and Removals (LSR) Standard applies to land-based GHG emissions and removals. For this product, direct land-use change emissions are assumed to be integrated within the upstream material emission factors provided in the BOM or are considered negligible due to the nature of the product. Should gwpkmittjl involve significant bio-based materials with land-use impacts not covered by the generic factors, a more in-depth LSR analysis would be required. No explicit carbon removal activities directly attributable to the product\'s lifecycle have been identified or accounted for in this analysis, beyond the potential for avoided emissions through recycling, which is reported transparently and not netted against other emissions as per GHG Protocol guidance.</w:t>
      </w:r>
    </w:p>
    <w:p>
      <w:r>
        <w:pict>
          <v:rect style="width:0;height:1.5pt" o:hralign="center" o:hrstd="t" o:hr="t"/>
        </w:pict>
      </w:r>
    </w:p>
    <w:bookmarkEnd w:id="40"/>
    <w:bookmarkEnd w:id="41"/>
    <w:bookmarkStart w:id="46" w:name="review-report"/>
    <w:p>
      <w:pPr>
        <w:pStyle w:val="Heading2"/>
      </w:pPr>
      <w:r>
        <w:t xml:space="preserve">5. Review &amp; Report</w:t>
      </w:r>
    </w:p>
    <w:bookmarkStart w:id="42" w:name="emission-hotspots"/>
    <w:p>
      <w:pPr>
        <w:pStyle w:val="Heading3"/>
      </w:pPr>
      <w:r>
        <w:t xml:space="preserve">5.1 Emission Hotspots</w:t>
      </w:r>
    </w:p>
    <w:p>
      <w:pPr>
        <w:pStyle w:val="FirstParagraph"/>
      </w:pPr>
      <w:r>
        <w:t xml:space="preserve">Based on the calculations, the primary emission hotspots for gwpkmittjl are identified as:</w:t>
      </w:r>
    </w:p>
    <w:p>
      <w:pPr>
        <w:numPr>
          <w:ilvl w:val="0"/>
          <w:numId w:val="1008"/>
        </w:numPr>
        <w:pStyle w:val="Compact"/>
      </w:pPr>
      <w:r>
        <w:rPr>
          <w:bCs/>
          <w:b/>
        </w:rPr>
        <w:t xml:space="preserve">Materials Acquisition &amp; Pre-processing:</w:t>
      </w:r>
      <w:r>
        <w:t xml:space="preserve"> </w:t>
      </w:r>
      <w:r>
        <w:t xml:space="preserve">The \'Total Carbon\' from the Detailed BOM reveals the inherent high impact of raw material extraction and manufacturing into components. This stage represents a significant portion of the total PCF.</w:t>
      </w:r>
    </w:p>
    <w:p>
      <w:pPr>
        <w:numPr>
          <w:ilvl w:val="0"/>
          <w:numId w:val="1008"/>
        </w:numPr>
        <w:pStyle w:val="Compact"/>
      </w:pPr>
      <w:r>
        <w:rPr>
          <w:bCs/>
          <w:b/>
        </w:rPr>
        <w:t xml:space="preserve">Use Phase:</w:t>
      </w:r>
      <w:r>
        <w:t xml:space="preserve"> </w:t>
      </w:r>
      <w:r>
        <w:t xml:space="preserve">The energy consumption during the product\'s lifespan, combined with the European grid mix, contributes substantially to the overall footprint.</w:t>
      </w:r>
    </w:p>
    <w:p>
      <w:pPr>
        <w:numPr>
          <w:ilvl w:val="0"/>
          <w:numId w:val="1008"/>
        </w:numPr>
        <w:pStyle w:val="Compact"/>
      </w:pPr>
      <w:r>
        <w:rPr>
          <w:bCs/>
          <w:b/>
        </w:rPr>
        <w:t xml:space="preserve">End-of-Life (Landfilling):</w:t>
      </w:r>
      <w:r>
        <w:t xml:space="preserve"> </w:t>
      </w:r>
      <w:r>
        <w:t xml:space="preserve">For the non-recycled portion, landfilling contributes notable emissions due to methane generation from organic components or energy used in waste management.</w:t>
      </w:r>
    </w:p>
    <w:bookmarkEnd w:id="42"/>
    <w:bookmarkStart w:id="43" w:name="data-reliability-and-assumptions"/>
    <w:p>
      <w:pPr>
        <w:pStyle w:val="Heading3"/>
      </w:pPr>
      <w:r>
        <w:t xml:space="preserve">5.2 Data Reliability and Assumptions</w:t>
      </w:r>
    </w:p>
    <w:p>
      <w:pPr>
        <w:pStyle w:val="FirstParagraph"/>
      </w:pPr>
      <w:r>
        <w:t xml:space="preserve">The reliability of this report is based on the methodology outlined and the emission factors chosen. It is important to note that many of the specific input parameters for</w:t>
      </w:r>
      <w:r>
        <w:t xml:space="preserve"> </w:t>
      </w:r>
      <w:r>
        <w:rPr>
          <w:bCs/>
          <w:b/>
        </w:rPr>
        <w:t xml:space="preserve">gwpkmittjl</w:t>
      </w:r>
      <w:r>
        <w:t xml:space="preserve"> </w:t>
      </w:r>
      <w:r>
        <w:t xml:space="preserve">were provided as placeholder strings (e.g., "lirmitgt", "qnoqvrlntx", "odzgonnyld"). For the purpose of this analysis, representative industry-average values and example data have been assumed for these placeholders. These assumptions, clearly stated in Section 3.1 and 3.2, affect the precision of the final PCF. Further primary data collection for actual BOM, precise transport distances and modes, specific renewable energy procurement, and detailed end-of-life treatment routes would significantly enhance the accuracy and reduce uncertainties in future assessments. All secondary emission factors utilized are sourced from reputable databases and publicly available reports.</w:t>
      </w:r>
    </w:p>
    <w:bookmarkEnd w:id="43"/>
    <w:bookmarkStart w:id="45" w:name="conclusion-and-recommendations"/>
    <w:p>
      <w:pPr>
        <w:pStyle w:val="Heading3"/>
      </w:pPr>
      <w:r>
        <w:t xml:space="preserve">5.3 Conclusion and Recommendations</w:t>
      </w:r>
    </w:p>
    <w:p>
      <w:pPr>
        <w:pStyle w:val="FirstParagraph"/>
      </w:pPr>
      <w:r>
        <w:t xml:space="preserve">The Product Carbon Footprint for gwpkmittjl is</w:t>
      </w:r>
    </w:p>
    <w:p>
      <w:pPr>
        <w:pStyle w:val="BodyText"/>
      </w:pPr>
      <w:r>
        <w:t xml:space="preserve">kg CO2e per functional unit, based on the assumptions and data used. To significantly reduce this footprint,</w:t>
      </w:r>
      <w:r>
        <w:t xml:space="preserve"> </w:t>
      </w:r>
      <w:r>
        <w:rPr>
          <w:bCs/>
          <w:b/>
        </w:rPr>
        <w:t xml:space="preserve">eehzwqgjun</w:t>
      </w:r>
      <w:r>
        <w:t xml:space="preserve"> </w:t>
      </w:r>
      <w:r>
        <w:t xml:space="preserve">should focus on:</w:t>
      </w:r>
    </w:p>
    <w:p>
      <w:pPr>
        <w:numPr>
          <w:ilvl w:val="0"/>
          <w:numId w:val="1009"/>
        </w:numPr>
        <w:pStyle w:val="Compact"/>
      </w:pPr>
      <w:r>
        <w:rPr>
          <w:bCs/>
          <w:b/>
        </w:rPr>
        <w:t xml:space="preserve">Material Optimization:</w:t>
      </w:r>
      <w:r>
        <w:t xml:space="preserve"> </w:t>
      </w:r>
      <w:r>
        <w:t xml:space="preserve">Conduct a thorough assessment of the actual BOM to identify high-impact materials and explore alternative, lower-carbon materials or design changes to reduce overall material intensity. Collaborating with suppliers to reduce their cradle-to-gate emissions for components is also crucial.</w:t>
      </w:r>
    </w:p>
    <w:p>
      <w:pPr>
        <w:numPr>
          <w:ilvl w:val="0"/>
          <w:numId w:val="1009"/>
        </w:numPr>
        <w:pStyle w:val="Compact"/>
      </w:pPr>
      <w:r>
        <w:rPr>
          <w:bCs/>
          <w:b/>
        </w:rPr>
        <w:t xml:space="preserve">Enhance Production Efficiency &amp; Renewable Energy Adoption:</w:t>
      </w:r>
      <w:r>
        <w:t xml:space="preserve"> </w:t>
      </w:r>
      <w:r>
        <w:t xml:space="preserve">Increase the actual share of renewable energy used in the Chinese production facility and continuously optimize energy-intensive processes to reduce overall kWh/unit.</w:t>
      </w:r>
    </w:p>
    <w:p>
      <w:pPr>
        <w:numPr>
          <w:ilvl w:val="0"/>
          <w:numId w:val="1009"/>
        </w:numPr>
        <w:pStyle w:val="Compact"/>
      </w:pPr>
      <w:r>
        <w:rPr>
          <w:bCs/>
          <w:b/>
        </w:rPr>
        <w:t xml:space="preserve">Extend Product Lifespan &amp; Improve Repairability:</w:t>
      </w:r>
      <w:r>
        <w:t xml:space="preserve"> </w:t>
      </w:r>
      <w:r>
        <w:t xml:space="preserve">Implement design strategies that increase the product\'s lifespan and facilitate repairability, thereby reducing the frequency of replacement and the associated lifecycle impacts.</w:t>
      </w:r>
    </w:p>
    <w:p>
      <w:pPr>
        <w:numPr>
          <w:ilvl w:val="0"/>
          <w:numId w:val="1009"/>
        </w:numPr>
        <w:pStyle w:val="Compact"/>
      </w:pPr>
      <w:r>
        <w:rPr>
          <w:bCs/>
          <w:b/>
        </w:rPr>
        <w:t xml:space="preserve">Strengthen Circular Economy Initiatives:</w:t>
      </w:r>
      <w:r>
        <w:t xml:space="preserve"> </w:t>
      </w:r>
      <w:r>
        <w:t xml:space="preserve">Actively expand take-back and recycling programs, exploring closed-loop recycling where feasible to maximize material recovery and minimize landfilling. These programs offer significant environmental benefits even if avoided emissions are not directly netted against the PCF total.</w:t>
      </w:r>
    </w:p>
    <w:p>
      <w:pPr>
        <w:numPr>
          <w:ilvl w:val="0"/>
          <w:numId w:val="1009"/>
        </w:numPr>
        <w:pStyle w:val="Compact"/>
      </w:pPr>
      <w:r>
        <w:rPr>
          <w:bCs/>
          <w:b/>
        </w:rPr>
        <w:t xml:space="preserve">Logistics Optimization:</w:t>
      </w:r>
      <w:r>
        <w:t xml:space="preserve"> </w:t>
      </w:r>
      <w:r>
        <w:t xml:space="preserve">Collect precise data on transport distances and modes for both upstream and downstream logistics. Investigate and implement more efficient or lower-carbon transport solutions, and optimize delivery routes to reduce fuel consumption.</w:t>
      </w:r>
    </w:p>
    <w:p>
      <w:pPr>
        <w:pStyle w:val="FirstParagraph"/>
      </w:pPr>
      <w:r>
        <w:t xml:space="preserve">This PCF analysis provides a crucial foundation for</w:t>
      </w:r>
      <w:r>
        <w:t xml:space="preserve"> </w:t>
      </w:r>
      <w:r>
        <w:rPr>
          <w:bCs/>
          <w:b/>
        </w:rPr>
        <w:t xml:space="preserve">eehzwqgjun</w:t>
      </w:r>
      <w:r>
        <w:t xml:space="preserve"> </w:t>
      </w:r>
      <w:r>
        <w:t xml:space="preserve">to drive sustainability improvements for</w:t>
      </w:r>
      <w:r>
        <w:t xml:space="preserve"> </w:t>
      </w:r>
      <w:r>
        <w:rPr>
          <w:bCs/>
          <w:b/>
        </w:rPr>
        <w:t xml:space="preserve">gwpkmittjl</w:t>
      </w:r>
      <w:r>
        <w:t xml:space="preserve">, aligning with global climate goals and the stringent requirements of the GHG Protocol.</w:t>
      </w:r>
    </w:p>
    <w:p>
      <w:pPr>
        <w:pStyle w:val="BodyText"/>
      </w:pPr>
      <w:r>
        <w:t xml:space="preserve">Confidential - Internal Use Only | Page</w:t>
      </w:r>
      <w:r>
        <w:t xml:space="preserve"> </w:t>
      </w:r>
      <w:bookmarkStart w:id="44" w:name="page-number"/>
      <w:bookmarkEnd w:id="44"/>
    </w:p>
    <w:bookmarkEnd w:id="45"/>
    <w:bookmarkEnd w:id="46"/>
    <w:bookmarkEnd w:id="4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gwpkmittjl</dc:title>
  <dc:creator/>
  <dc:description>A detailed Product Carbon Footprint (PCF) analysis report for gwpkmittjl, specializing in GHG Protocol, conducted by Senior Sustainability Consultant pzyqrhnnuf for eehzwqgjun.</dc:description>
  <dc:language>en</dc:language>
  <cp:keywords/>
  <dcterms:created xsi:type="dcterms:W3CDTF">2026-07-15T19:57:49Z</dcterms:created>
  <dcterms:modified xsi:type="dcterms:W3CDTF">2026-07-15T19:57:49Z</dcterms:modified>
</cp:coreProperties>
</file>

<file path=docProps/custom.xml><?xml version="1.0" encoding="utf-8"?>
<Properties xmlns="http://schemas.openxmlformats.org/officeDocument/2006/custom-properties" xmlns:vt="http://schemas.openxmlformats.org/officeDocument/2006/docPropsVTypes"/>
</file>