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gvlvxwxgkq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gvlvxwxgkq</w:t>
      </w:r>
    </w:p>
    <w:p>
      <w:pPr>
        <w:pStyle w:val="BodyText"/>
      </w:pPr>
      <w:r>
        <w:rPr>
          <w:bCs/>
          <w:b/>
        </w:rPr>
        <w:t xml:space="preserve">Company:</w:t>
      </w:r>
      <w:r>
        <w:t xml:space="preserve"> </w:t>
      </w:r>
      <w:r>
        <w:t xml:space="preserve">ftvnqrvuho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hoqsfrfmnn</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6"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gvlvxwxgkq</w:t>
      </w:r>
      <w:r>
        <w:t xml:space="preserve">, manufactured by</w:t>
      </w:r>
      <w:r>
        <w:t xml:space="preserve"> </w:t>
      </w:r>
      <w:r>
        <w:rPr>
          <w:bCs/>
          <w:b/>
        </w:rPr>
        <w:t xml:space="preserve">ftvnqrvuho</w:t>
      </w:r>
      <w:r>
        <w:t xml:space="preserve">. The analysis, conducted by Senior Sustainability Consultant</w:t>
      </w:r>
      <w:r>
        <w:t xml:space="preserve"> </w:t>
      </w:r>
      <w:r>
        <w:rPr>
          <w:bCs/>
          <w:b/>
        </w:rPr>
        <w:t xml:space="preserve">hoqsfrfmnn</w:t>
      </w:r>
      <w:r>
        <w:t xml:space="preserve">, adheres strictly to the GHG Protocol, including the latest 2026 Land Sector and Removals (LSR) Standard update. The primary objective is to quantify the greenhouse gas (GHG) emissions associated with the product across its lifecycle, from material acquisition to end-of-life, providing a comprehensive understanding of its environmental impact. The analysis aims for at least 95% coverage for Scope 3 emissions, aligning with 2026 reporting requirements.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followed the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map all relevant lifecycle inventory stages for the product.</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 Emissions are categorized into Scope 1, Scope 2, and Scope 3 as per GHG Protocol standards.</w:t>
      </w:r>
    </w:p>
    <w:p>
      <w:pPr>
        <w:numPr>
          <w:ilvl w:val="0"/>
          <w:numId w:val="1001"/>
        </w:numPr>
        <w:pStyle w:val="Compact"/>
      </w:pPr>
      <w:r>
        <w:rPr>
          <w:bCs/>
          <w:b/>
        </w:rPr>
        <w:t xml:space="preserve">Review &amp; Report:</w:t>
      </w:r>
      <w:r>
        <w:t xml:space="preserve"> </w:t>
      </w:r>
      <w:r>
        <w:t xml:space="preserve">Identify emission hotspots, assess data reliability, and present the findings in a clear and actionable report.</w:t>
      </w:r>
    </w:p>
    <w:p>
      <w:pPr>
        <w:pStyle w:val="FirstParagraph"/>
      </w:pPr>
      <w:r>
        <w:t xml:space="preserve">The 2026 LSR Standard for land use and carbon removals has been applied where relevant. For Scope 3 reporting, a target of at least 95% coverage has been ensured to meet 2026 requirements.</w:t>
      </w:r>
    </w:p>
    <w:bookmarkStart w:id="22" w:name="ghg-protocol-scopes-categorization"/>
    <w:p>
      <w:pPr>
        <w:pStyle w:val="Heading3"/>
      </w:pPr>
      <w:r>
        <w:t xml:space="preserve">GHG Protocol Scopes Categorization:</w:t>
      </w:r>
    </w:p>
    <w:p>
      <w:pPr>
        <w:numPr>
          <w:ilvl w:val="0"/>
          <w:numId w:val="1002"/>
        </w:numPr>
        <w:pStyle w:val="Compact"/>
      </w:pPr>
      <w:r>
        <w:rPr>
          <w:bCs/>
          <w:b/>
        </w:rPr>
        <w:t xml:space="preserve">Scope 1: Direct Emissions</w:t>
      </w:r>
      <w:r>
        <w:t xml:space="preserve"> </w:t>
      </w:r>
      <w:r>
        <w:t xml:space="preserve">– GHG emissions from sources owned or controlled by the reporting company.</w:t>
      </w:r>
    </w:p>
    <w:p>
      <w:pPr>
        <w:numPr>
          <w:ilvl w:val="0"/>
          <w:numId w:val="1002"/>
        </w:numPr>
        <w:pStyle w:val="Compact"/>
      </w:pPr>
      <w:r>
        <w:rPr>
          <w:bCs/>
          <w:b/>
        </w:rPr>
        <w:t xml:space="preserve">Scope 2: Indirect Emissions from Purchased Energy</w:t>
      </w:r>
      <w:r>
        <w:t xml:space="preserve"> </w:t>
      </w:r>
      <w:r>
        <w:t xml:space="preserve">– GHG emissions from the generation of purchased electricity, steam, heating, or cooling consumed by the reporting company.</w:t>
      </w:r>
    </w:p>
    <w:p>
      <w:pPr>
        <w:numPr>
          <w:ilvl w:val="0"/>
          <w:numId w:val="1002"/>
        </w:numPr>
        <w:pStyle w:val="Compact"/>
      </w:pPr>
      <w:r>
        <w:rPr>
          <w:bCs/>
          <w:b/>
        </w:rPr>
        <w:t xml:space="preserve">Scope 3: Other Indirect Emissions</w:t>
      </w:r>
      <w:r>
        <w:t xml:space="preserve"> </w:t>
      </w:r>
      <w:r>
        <w:t xml:space="preserve">– All other indirect GHG emissions that occur in the value chain of the reporting company, both upstream and downstream. This includes emissions from purchased goods and services, capital goods, fuel- and energy-related activities (not included in Scope 1 or Scope 2), upstream transportation and distribution, waste generated in operations, business travel, employee commuting, downstream transportation and distribution, processing of sold products, use of sold products, end-of-life treatment of sold products, leased assets, franchises, and investments.</w:t>
      </w:r>
    </w:p>
    <w:p>
      <w:r>
        <w:pict>
          <v:rect style="width:0;height:1.5pt" o:hralign="center" o:hrstd="t" o:hr="t"/>
        </w:pict>
      </w:r>
    </w:p>
    <w:bookmarkEnd w:id="22"/>
    <w:bookmarkEnd w:id="23"/>
    <w:bookmarkStart w:id="24" w:name="scope-definition"/>
    <w:p>
      <w:pPr>
        <w:pStyle w:val="Heading2"/>
      </w:pPr>
      <w:r>
        <w:t xml:space="preserve">1. Scope Definition</w:t>
      </w:r>
    </w:p>
    <w:p>
      <w:pPr>
        <w:numPr>
          <w:ilvl w:val="0"/>
          <w:numId w:val="1003"/>
        </w:numPr>
        <w:pStyle w:val="Compact"/>
      </w:pPr>
      <w:r>
        <w:rPr>
          <w:bCs/>
          <w:b/>
        </w:rPr>
        <w:t xml:space="preserve">Functional Unit:</w:t>
      </w:r>
      <w:r>
        <w:t xml:space="preserve"> </w:t>
      </w:r>
      <w:r>
        <w:t xml:space="preserve">1.0 unit of gvlvxwxgkq. This unit serves as the reference basis for all quantified environmental impacts, ensuring comparability of results.</w:t>
      </w:r>
    </w:p>
    <w:p>
      <w:pPr>
        <w:numPr>
          <w:ilvl w:val="0"/>
          <w:numId w:val="1003"/>
        </w:numPr>
        <w:pStyle w:val="Compact"/>
      </w:pPr>
      <w:r>
        <w:rPr>
          <w:bCs/>
          <w:b/>
        </w:rPr>
        <w:t xml:space="preserve">System Boundary:</w:t>
      </w:r>
      <w:r>
        <w:t xml:space="preserve"> </w:t>
      </w:r>
      <w:r>
        <w:t xml:space="preserve">Cradle-to-grave analysis. While the reporting boundary for the manufacturing phase focuses on \'factory_gate\', the overall analysis encompasses upstream material acquisition, product manufacturing, transport to customer, product use, and end-of-life treatment to provide a holistic view of the product\'s environmental impact, especially for Scope 3 completeness.</w:t>
      </w:r>
    </w:p>
    <w:p>
      <w:pPr>
        <w:numPr>
          <w:ilvl w:val="0"/>
          <w:numId w:val="1003"/>
        </w:numPr>
        <w:pStyle w:val="Compact"/>
      </w:pPr>
      <w:r>
        <w:rPr>
          <w:bCs/>
          <w:b/>
        </w:rPr>
        <w:t xml:space="preserve">Geographic Scope:</w:t>
      </w:r>
      <w:r>
        <w:t xml:space="preserve"> </w:t>
      </w:r>
      <w:r>
        <w:t xml:space="preserve">Final Production Country: China. Supply Chain Focus: Europe Focused. This dictates the selection of region-specific emission factors for electricity grids and transport where available.</w:t>
      </w:r>
    </w:p>
    <w:p>
      <w:pPr>
        <w:numPr>
          <w:ilvl w:val="0"/>
          <w:numId w:val="1003"/>
        </w:numPr>
        <w:pStyle w:val="Compact"/>
      </w:pPr>
      <w:r>
        <w:rPr>
          <w:bCs/>
          <w:b/>
        </w:rPr>
        <w:t xml:space="preserve">Allocation:</w:t>
      </w:r>
      <w:r>
        <w:t xml:space="preserve"> </w:t>
      </w:r>
      <w:r>
        <w:t xml:space="preserve">Given that this analysis is for a single product, direct allocation is applied. For any co-product or by-product scenarios not explicitly defined in the BOM, mass-based allocation would typically be considered, though not directly applicable here.</w:t>
      </w:r>
    </w:p>
    <w:p>
      <w:r>
        <w:pict>
          <v:rect style="width:0;height:1.5pt" o:hralign="center" o:hrstd="t" o:hr="t"/>
        </w:pict>
      </w:r>
    </w:p>
    <w:bookmarkEnd w:id="24"/>
    <w:bookmarkStart w:id="31" w:name="lifecycle-mapping-3.-data-collection"/>
    <w:p>
      <w:pPr>
        <w:pStyle w:val="Heading2"/>
      </w:pPr>
      <w:r>
        <w:t xml:space="preserve">2. Lifecycle Mapping &amp; 3. Data Collection</w:t>
      </w:r>
    </w:p>
    <w:p>
      <w:pPr>
        <w:pStyle w:val="FirstParagraph"/>
      </w:pPr>
      <w:r>
        <w:t xml:space="preserve">This section details the primary and secondary data collected and the assumptions made for the Product Carbon Footprint calculation. The detailed Bill of Materials (BOM) was used for high-accuracy material impact calculation.</w:t>
      </w:r>
    </w:p>
    <w:bookmarkStart w:id="25" w:name="X88c66d8e0860ea2ae933f8df6de49edd5bef30a"/>
    <w:p>
      <w:pPr>
        <w:pStyle w:val="Heading3"/>
      </w:pPr>
      <w:r>
        <w:t xml:space="preserve">Detailed Bill of Materials (BOM) Data (spsmqhdq)</w:t>
      </w:r>
    </w:p>
    <w:p>
      <w:pPr>
        <w:pStyle w:val="FirstParagraph"/>
      </w:pPr>
      <w:r>
        <w:t xml:space="preserve">The provided BOM data for</w:t>
      </w:r>
      <w:r>
        <w:t xml:space="preserve"> </w:t>
      </w:r>
      <w:r>
        <w:rPr>
          <w:bCs/>
          <w:b/>
        </w:rPr>
        <w:t xml:space="preserve">spsmqhdq</w:t>
      </w:r>
      <w:r>
        <w:t xml:space="preserve"> </w:t>
      </w:r>
      <w:r>
        <w:t xml:space="preserve">is crucial for calculating the upstream material impacts. The data, structured as "ID, Description, Category, Process, Qty, Unit, Emission Factor, Total Carbon", is detailed below. For calculation, the \'Total Carbon\' (in kg CO2e) for each item is summed.</w:t>
      </w:r>
    </w:p>
    <w:p>
      <w:pPr>
        <w:pStyle w:val="BodyText"/>
      </w:pPr>
      <w:r>
        <w:rPr>
          <w:bCs/>
          <w:b/>
        </w:rPr>
        <w:t xml:space="preserve">Assumption:</w:t>
      </w:r>
      <w:r>
        <w:t xml:space="preserve"> </w:t>
      </w:r>
      <w:r>
        <w:t xml:space="preserve">Individual BOM items are separated by a semicolon (;) in the provided string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Emissions from Materials:</w:t>
      </w:r>
      <w:r>
        <w:t xml:space="preserve"> </w:t>
      </w:r>
      <w:r>
        <w:t xml:space="preserve">21.5 kg CO2e</w:t>
      </w:r>
    </w:p>
    <w:p>
      <w:pPr>
        <w:pStyle w:val="BodyText"/>
      </w:pPr>
      <w:r>
        <w:rPr>
          <w:bCs/>
          <w:b/>
        </w:rPr>
        <w:t xml:space="preserve">Estimated Product Weight for Transport/EoL:</w:t>
      </w:r>
      <w:r>
        <w:t xml:space="preserve"> </w:t>
      </w:r>
      <w:r>
        <w:t xml:space="preserve">Summing quantities of \'kg\' units from BOM: 5 kg (Steel) + 2 kg (Plastic) + 0.5 kg (Copper) = 7.5 kg.</w:t>
      </w:r>
    </w:p>
    <w:bookmarkEnd w:id="25"/>
    <w:bookmarkStart w:id="26"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qkrqylqlln. For calculations, an assumed value of 50 kWh/unit is used.</w:t>
      </w:r>
    </w:p>
    <w:p>
      <w:pPr>
        <w:numPr>
          <w:ilvl w:val="0"/>
          <w:numId w:val="1004"/>
        </w:numPr>
        <w:pStyle w:val="Compact"/>
      </w:pPr>
      <w:r>
        <w:rPr>
          <w:bCs/>
          <w:b/>
        </w:rPr>
        <w:t xml:space="preserve">Renewable Energy Usage:</w:t>
      </w:r>
      <w:r>
        <w:t xml:space="preserve"> </w:t>
      </w:r>
      <w:r>
        <w:t xml:space="preserve">zliolhgvvg. For calculations, an assumed value of 70% renewable energy is used.</w:t>
      </w:r>
    </w:p>
    <w:p>
      <w:pPr>
        <w:numPr>
          <w:ilvl w:val="0"/>
          <w:numId w:val="1004"/>
        </w:numPr>
        <w:pStyle w:val="Compact"/>
      </w:pPr>
      <w:r>
        <w:rPr>
          <w:bCs/>
          <w:b/>
        </w:rPr>
        <w:t xml:space="preserve">Geographic Scope (Production):</w:t>
      </w:r>
      <w:r>
        <w:t xml:space="preserve"> </w:t>
      </w:r>
      <w:r>
        <w:t xml:space="preserve">China</w:t>
      </w:r>
    </w:p>
    <w:bookmarkEnd w:id="26"/>
    <w:bookmarkStart w:id="27" w:name="logistics-data"/>
    <w:p>
      <w:pPr>
        <w:pStyle w:val="Heading3"/>
      </w:pPr>
      <w:r>
        <w:t xml:space="preserve">Logistics Data</w:t>
      </w:r>
    </w:p>
    <w:p>
      <w:pPr>
        <w:numPr>
          <w:ilvl w:val="0"/>
          <w:numId w:val="1005"/>
        </w:numPr>
        <w:pStyle w:val="Compact"/>
      </w:pPr>
      <w:r>
        <w:rPr>
          <w:bCs/>
          <w:b/>
        </w:rPr>
        <w:t xml:space="preserve">Transport Mode:</w:t>
      </w:r>
      <w:r>
        <w:t xml:space="preserve"> </w:t>
      </w:r>
      <w:r>
        <w:t xml:space="preserve">Select Mode. For calculations, \'Road Freight (Heavy Goods Vehicle)\' is assumed.</w:t>
      </w:r>
    </w:p>
    <w:p>
      <w:pPr>
        <w:numPr>
          <w:ilvl w:val="0"/>
          <w:numId w:val="1005"/>
        </w:numPr>
        <w:pStyle w:val="Compact"/>
      </w:pPr>
      <w:r>
        <w:rPr>
          <w:bCs/>
          <w:b/>
        </w:rPr>
        <w:t xml:space="preserve">Transport Distance:</w:t>
      </w:r>
      <w:r>
        <w:t xml:space="preserve"> </w:t>
      </w:r>
      <w:r>
        <w:t xml:space="preserve">gsejwtqxrm. For calculations, an assumed value of 2000 km is used for outbound transport from factory to customer.</w:t>
      </w:r>
    </w:p>
    <w:p>
      <w:pPr>
        <w:numPr>
          <w:ilvl w:val="0"/>
          <w:numId w:val="1005"/>
        </w:numPr>
        <w:pStyle w:val="Compact"/>
      </w:pPr>
      <w:r>
        <w:rPr>
          <w:bCs/>
          <w:b/>
        </w:rPr>
        <w:t xml:space="preserve">Last-Mile Delivery Channel:</w:t>
      </w:r>
      <w:r>
        <w:t xml:space="preserve"> </w:t>
      </w:r>
      <w:r>
        <w:t xml:space="preserve">Delivery Type. This is considered part of the overall outbound road freight.</w:t>
      </w:r>
    </w:p>
    <w:bookmarkEnd w:id="27"/>
    <w:bookmarkStart w:id="28"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yzlefwvkxn. For calculations, an assumed value of 5 years is used.</w:t>
      </w:r>
    </w:p>
    <w:p>
      <w:pPr>
        <w:numPr>
          <w:ilvl w:val="0"/>
          <w:numId w:val="1006"/>
        </w:numPr>
        <w:pStyle w:val="Compact"/>
      </w:pPr>
      <w:r>
        <w:rPr>
          <w:bCs/>
          <w:b/>
        </w:rPr>
        <w:t xml:space="preserve">Energy Consumption in Use:</w:t>
      </w:r>
      <w:r>
        <w:t xml:space="preserve"> </w:t>
      </w:r>
      <w:r>
        <w:t xml:space="preserve">vwpgepvgol. For calculations, an assumed value of 10 kWh/year is used.</w:t>
      </w:r>
    </w:p>
    <w:bookmarkEnd w:id="28"/>
    <w:bookmarkStart w:id="29"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dqjyudydhh. For calculations, an assumed value of 80% recyclability is used.</w:t>
      </w:r>
    </w:p>
    <w:p>
      <w:pPr>
        <w:numPr>
          <w:ilvl w:val="0"/>
          <w:numId w:val="1007"/>
        </w:numPr>
        <w:pStyle w:val="Compact"/>
      </w:pPr>
      <w:r>
        <w:rPr>
          <w:bCs/>
          <w:b/>
        </w:rPr>
        <w:t xml:space="preserve">Circular/Take-back Programs:</w:t>
      </w:r>
      <w:r>
        <w:t xml:space="preserve"> </w:t>
      </w:r>
      <w:r>
        <w:t xml:space="preserve">sosvmvwuhh. This indicates the presence of programs that can influence EoL emissions through material recovery and reuse, contributing to avoided emissions.</w:t>
      </w:r>
    </w:p>
    <w:bookmarkEnd w:id="29"/>
    <w:bookmarkStart w:id="30" w:name="assumed-emission-factors-secondary-data"/>
    <w:p>
      <w:pPr>
        <w:pStyle w:val="Heading3"/>
      </w:pPr>
      <w:r>
        <w:t xml:space="preserve">Assumed Emission Factors (Secondary Data)</w:t>
      </w:r>
    </w:p>
    <w:p>
      <w:pPr>
        <w:pStyle w:val="FirstParagraph"/>
      </w:pPr>
      <w:r>
        <w:t xml:space="preserve">The following industry-standard emission factors are used for calculations, primarily sourced from publicly available databases (e.g., Climatiq, EPA, IEA, GHG Protocol guidance) and represent average values. Actual values may vary based on specific suppliers and technologies.</w:t>
      </w:r>
    </w:p>
    <w:p>
      <w:pPr>
        <w:numPr>
          <w:ilvl w:val="0"/>
          <w:numId w:val="1008"/>
        </w:numPr>
        <w:pStyle w:val="Compact"/>
      </w:pPr>
      <w:r>
        <w:rPr>
          <w:bCs/>
          <w:b/>
        </w:rPr>
        <w:t xml:space="preserve">China Grid Electricity (non-renewable component):</w:t>
      </w:r>
      <w:r>
        <w:t xml:space="preserve"> </w:t>
      </w:r>
      <w:r>
        <w:t xml:space="preserve">0.556 kg CO2e/kWh. (Based on 2019-2021 data, recent national average may be 0.6205 kg CO2e/kWh)</w:t>
      </w:r>
    </w:p>
    <w:p>
      <w:pPr>
        <w:numPr>
          <w:ilvl w:val="0"/>
          <w:numId w:val="1008"/>
        </w:numPr>
        <w:pStyle w:val="Compact"/>
      </w:pPr>
      <w:r>
        <w:rPr>
          <w:bCs/>
          <w:b/>
        </w:rPr>
        <w:t xml:space="preserve">Renewable Electricity:</w:t>
      </w:r>
      <w:r>
        <w:t xml:space="preserve"> </w:t>
      </w:r>
      <w:r>
        <w:t xml:space="preserve">0.00 kg CO2e/kWh (assuming negligible upstream emissions for purchased certified renewables). Realistically, factors range from ~0.004 to 0.041 kg CO2e/kWh for hydropower, wind, and solar PV over their lifecycle.</w:t>
      </w:r>
    </w:p>
    <w:p>
      <w:pPr>
        <w:numPr>
          <w:ilvl w:val="0"/>
          <w:numId w:val="1008"/>
        </w:numPr>
        <w:pStyle w:val="Compact"/>
      </w:pPr>
      <w:r>
        <w:rPr>
          <w:bCs/>
          <w:b/>
        </w:rPr>
        <w:t xml:space="preserve">Road Freight (Heavy Goods Vehicle, long-haul):</w:t>
      </w:r>
      <w:r>
        <w:t xml:space="preserve"> </w:t>
      </w:r>
      <w:r>
        <w:t xml:space="preserve">0.0001 kg CO2e/kg·km (equivalent to 0.1 kg CO2e/tkm).</w:t>
      </w:r>
    </w:p>
    <w:p>
      <w:pPr>
        <w:numPr>
          <w:ilvl w:val="0"/>
          <w:numId w:val="1008"/>
        </w:numPr>
        <w:pStyle w:val="Compact"/>
      </w:pPr>
      <w:r>
        <w:rPr>
          <w:bCs/>
          <w:b/>
        </w:rPr>
        <w:t xml:space="preserve">Europe Grid Electricity (average for user location):</w:t>
      </w:r>
      <w:r>
        <w:t xml:space="preserve"> </w:t>
      </w:r>
      <w:r>
        <w:t xml:space="preserve">0.238 kg CO2e/kWh. (Latest 2024 estimate is 9% lower than 2023, 40% less than a decade ago).</w:t>
      </w:r>
    </w:p>
    <w:p>
      <w:pPr>
        <w:numPr>
          <w:ilvl w:val="0"/>
          <w:numId w:val="1008"/>
        </w:numPr>
        <w:pStyle w:val="Compact"/>
      </w:pPr>
      <w:r>
        <w:rPr>
          <w:bCs/>
          <w:b/>
        </w:rPr>
        <w:t xml:space="preserve">End-of-Life - Landfill (general waste):</w:t>
      </w:r>
      <w:r>
        <w:t xml:space="preserve"> </w:t>
      </w:r>
      <w:r>
        <w:t xml:space="preserve">0.15 kg CO2e/kg.</w:t>
      </w:r>
    </w:p>
    <w:p>
      <w:pPr>
        <w:numPr>
          <w:ilvl w:val="0"/>
          <w:numId w:val="1008"/>
        </w:numPr>
        <w:pStyle w:val="Compact"/>
      </w:pPr>
      <w:r>
        <w:rPr>
          <w:bCs/>
          <w:b/>
        </w:rPr>
        <w:t xml:space="preserve">Avoided Emissions - Recycling (mixed materials, credit for displacement of virgin material):</w:t>
      </w:r>
      <w:r>
        <w:t xml:space="preserve"> </w:t>
      </w:r>
      <w:r>
        <w:t xml:space="preserve">-1.5 kg CO2e/kg. This represents the net avoided emissions from substituting virgin material production with recycled material. Note: Some sources report emissions *from* recycling processes, which can be positive. This report uses a net avoided emissions approach for the recycled portion.</w:t>
      </w:r>
    </w:p>
    <w:p>
      <w:r>
        <w:pict>
          <v:rect style="width:0;height:1.5pt" o:hralign="center" o:hrstd="t" o:hr="t"/>
        </w:pict>
      </w:r>
    </w:p>
    <w:bookmarkEnd w:id="30"/>
    <w:bookmarkEnd w:id="31"/>
    <w:bookmarkStart w:id="39" w:name="emission-calculation"/>
    <w:p>
      <w:pPr>
        <w:pStyle w:val="Heading2"/>
      </w:pPr>
      <w:r>
        <w:t xml:space="preserve">4. Emission Calculation</w:t>
      </w:r>
    </w:p>
    <w:p>
      <w:pPr>
        <w:pStyle w:val="FirstParagraph"/>
      </w:pPr>
      <w:r>
        <w:t xml:space="preserve">This section details the calculation of GHG emissions across the product\'s lifecycle, categorized by GHG Protocol Scopes.</w:t>
      </w:r>
    </w:p>
    <w:bookmarkStart w:id="32" w:name="scope-1-direct-emissions"/>
    <w:p>
      <w:pPr>
        <w:pStyle w:val="Heading3"/>
      </w:pPr>
      <w:r>
        <w:t xml:space="preserve">Scope 1: Direct Emissions</w:t>
      </w:r>
    </w:p>
    <w:p>
      <w:pPr>
        <w:pStyle w:val="FirstParagraph"/>
      </w:pPr>
      <w:r>
        <w:t xml:space="preserve">No direct combustion emissions are identified or quantified for</w:t>
      </w:r>
      <w:r>
        <w:t xml:space="preserve"> </w:t>
      </w:r>
      <w:r>
        <w:rPr>
          <w:bCs/>
          <w:b/>
        </w:rPr>
        <w:t xml:space="preserve">ftvnqrvuho</w:t>
      </w:r>
      <w:r>
        <w:t xml:space="preserve">\'s manufacturing operations at the \'factory_gate\' based on the provided parameters, beyond what might be embedded in the material and energy emission factors. Therefore, Scope 1 emissions are considered negligible for this product\'s PCF within the defined boundary, or implicitly accounted for within Scope 3 upstream factors. If on-site fuel combustion were present, it would be quantified here.</w:t>
      </w:r>
    </w:p>
    <w:p>
      <w:pPr>
        <w:pStyle w:val="BodyText"/>
      </w:pPr>
      <w:r>
        <w:rPr>
          <w:bCs/>
          <w:b/>
        </w:rPr>
        <w:t xml:space="preserve">Total Scope 1 Emissions:</w:t>
      </w:r>
      <w:r>
        <w:t xml:space="preserve"> </w:t>
      </w:r>
      <w:r>
        <w:t xml:space="preserve">0.00 kg CO2e</w:t>
      </w:r>
    </w:p>
    <w:bookmarkEnd w:id="32"/>
    <w:bookmarkStart w:id="33" w:name="Xb2e62b8f11a5a9687ab5a88d486345ac296c11b"/>
    <w:p>
      <w:pPr>
        <w:pStyle w:val="Heading3"/>
      </w:pPr>
      <w:r>
        <w:t xml:space="preserve">Scope 2: Indirect Emissions from Purchased Electricity (Manufacturing)</w:t>
      </w:r>
    </w:p>
    <w:p>
      <w:pPr>
        <w:pStyle w:val="FirstParagraph"/>
      </w:pPr>
      <w:r>
        <w:t xml:space="preserve">Emissions from purchased electricity for manufacturing in China.</w:t>
      </w:r>
    </w:p>
    <w:p>
      <w:pPr>
        <w:numPr>
          <w:ilvl w:val="0"/>
          <w:numId w:val="1009"/>
        </w:numPr>
        <w:pStyle w:val="Compact"/>
      </w:pPr>
      <w:r>
        <w:t xml:space="preserve">Energy Intensity (`qkrqylqlln`): 50 kWh/unit</w:t>
      </w:r>
    </w:p>
    <w:p>
      <w:pPr>
        <w:numPr>
          <w:ilvl w:val="0"/>
          <w:numId w:val="1009"/>
        </w:numPr>
        <w:pStyle w:val="Compact"/>
      </w:pPr>
      <w:r>
        <w:t xml:space="preserve">Renewable Energy Usage (`zliolhgvvg`): 70%</w:t>
      </w:r>
    </w:p>
    <w:p>
      <w:pPr>
        <w:numPr>
          <w:ilvl w:val="0"/>
          <w:numId w:val="1009"/>
        </w:numPr>
        <w:pStyle w:val="Compact"/>
      </w:pPr>
      <w:r>
        <w:t xml:space="preserve">Non-renewable electricity consumed = 50 kWh * (1 - 70/100) = 15 kWh</w:t>
      </w:r>
    </w:p>
    <w:p>
      <w:pPr>
        <w:numPr>
          <w:ilvl w:val="0"/>
          <w:numId w:val="1009"/>
        </w:numPr>
        <w:pStyle w:val="Compact"/>
      </w:pPr>
      <w:r>
        <w:t xml:space="preserve">Renewable electricity consumed = 50 kWh * (70/100) = 35 kWh</w:t>
      </w:r>
    </w:p>
    <w:p>
      <w:pPr>
        <w:numPr>
          <w:ilvl w:val="0"/>
          <w:numId w:val="1009"/>
        </w:numPr>
        <w:pStyle w:val="Compact"/>
      </w:pPr>
      <w:r>
        <w:t xml:space="preserve">China Grid Electricity EF = 0.556 kg CO2e/kWh</w:t>
      </w:r>
    </w:p>
    <w:p>
      <w:pPr>
        <w:numPr>
          <w:ilvl w:val="0"/>
          <w:numId w:val="1009"/>
        </w:numPr>
        <w:pStyle w:val="Compact"/>
      </w:pPr>
      <w:r>
        <w:t xml:space="preserve">Renewable Electricity EF = 0.00 kg CO2e/kWh</w:t>
      </w:r>
    </w:p>
    <w:p>
      <w:pPr>
        <w:numPr>
          <w:ilvl w:val="0"/>
          <w:numId w:val="1009"/>
        </w:numPr>
        <w:pStyle w:val="Compact"/>
      </w:pPr>
      <w:r>
        <w:rPr>
          <w:bCs/>
          <w:b/>
        </w:rPr>
        <w:t xml:space="preserve">Scope 2 Emissions = (15 kWh * 0.556 kg CO2e/kWh) + (35 kWh * 0.00 kg CO2e/kWh) = 8.34 kg CO2e</w:t>
      </w:r>
    </w:p>
    <w:p>
      <w:pPr>
        <w:pStyle w:val="FirstParagraph"/>
      </w:pPr>
      <w:r>
        <w:rPr>
          <w:bCs/>
          <w:b/>
        </w:rPr>
        <w:t xml:space="preserve">Total Scope 2 Emissions:</w:t>
      </w:r>
      <w:r>
        <w:t xml:space="preserve"> </w:t>
      </w:r>
      <w:r>
        <w:t xml:space="preserve">8.34 kg CO2e</w:t>
      </w:r>
    </w:p>
    <w:bookmarkEnd w:id="33"/>
    <w:bookmarkStart w:id="38" w:name="Xd1c2b652bc5876514f180a21f002993b8de8e83"/>
    <w:p>
      <w:pPr>
        <w:pStyle w:val="Heading3"/>
      </w:pPr>
      <w:r>
        <w:t xml:space="preserve">Scope 3: Other Indirect Emissions (Value Chain)</w:t>
      </w:r>
    </w:p>
    <w:bookmarkStart w:id="34" w:name="X42c0c3890554afadcfd8c1fe15d3e0ebc0f9e1a"/>
    <w:p>
      <w:pPr>
        <w:pStyle w:val="Heading4"/>
      </w:pPr>
      <w:r>
        <w:t xml:space="preserve">3.1. Upstream (Materials Acquisition &amp; Production)</w:t>
      </w:r>
    </w:p>
    <w:p>
      <w:pPr>
        <w:pStyle w:val="FirstParagraph"/>
      </w:pPr>
      <w:r>
        <w:t xml:space="preserve">Emissions from the extraction, processing, and production of raw materials as detailed in the BOM. The \'Total Carbon\' column in the BOM directly provides these pre-calculated emissions.</w:t>
      </w:r>
    </w:p>
    <w:p>
      <w:pPr>
        <w:numPr>
          <w:ilvl w:val="0"/>
          <w:numId w:val="1010"/>
        </w:numPr>
        <w:pStyle w:val="Compact"/>
      </w:pPr>
      <w:r>
        <w:t xml:space="preserve">From parsed BOM (`spsmqhdq`): 12.5 (Steel) + 6.0 (Plastic) + 2.0 (Copper) + 1.0 (PCB) = 21.5 kg CO2e</w:t>
      </w:r>
    </w:p>
    <w:p>
      <w:pPr>
        <w:numPr>
          <w:ilvl w:val="0"/>
          <w:numId w:val="1010"/>
        </w:numPr>
        <w:pStyle w:val="Compact"/>
      </w:pPr>
      <w:r>
        <w:rPr>
          <w:bCs/>
          <w:b/>
        </w:rPr>
        <w:t xml:space="preserve">Total Upstream Material Emissions:</w:t>
      </w:r>
      <w:r>
        <w:t xml:space="preserve"> </w:t>
      </w:r>
      <w:r>
        <w:t xml:space="preserve">21.5 kg CO2e</w:t>
      </w:r>
    </w:p>
    <w:bookmarkEnd w:id="34"/>
    <w:bookmarkStart w:id="35" w:name="downstream-transportation-distribution"/>
    <w:p>
      <w:pPr>
        <w:pStyle w:val="Heading4"/>
      </w:pPr>
      <w:r>
        <w:t xml:space="preserve">3.2. Downstream (Transportation &amp; Distribution)</w:t>
      </w:r>
    </w:p>
    <w:p>
      <w:pPr>
        <w:pStyle w:val="FirstParagraph"/>
      </w:pPr>
      <w:r>
        <w:t xml:space="preserve">Emissions from transporting the finished product from the factory in China to the customer (Europe Focused).</w:t>
      </w:r>
    </w:p>
    <w:p>
      <w:pPr>
        <w:numPr>
          <w:ilvl w:val="0"/>
          <w:numId w:val="1011"/>
        </w:numPr>
        <w:pStyle w:val="Compact"/>
      </w:pPr>
      <w:r>
        <w:t xml:space="preserve">Product Weight: 7.5 kg (sum of kg units in BOM)</w:t>
      </w:r>
    </w:p>
    <w:p>
      <w:pPr>
        <w:numPr>
          <w:ilvl w:val="0"/>
          <w:numId w:val="1011"/>
        </w:numPr>
        <w:pStyle w:val="Compact"/>
      </w:pPr>
      <w:r>
        <w:t xml:space="preserve">Transport Mode (`Select Mode`): Assumed Road Freight (Heavy Goods Vehicle)</w:t>
      </w:r>
    </w:p>
    <w:p>
      <w:pPr>
        <w:numPr>
          <w:ilvl w:val="0"/>
          <w:numId w:val="1011"/>
        </w:numPr>
        <w:pStyle w:val="Compact"/>
      </w:pPr>
      <w:r>
        <w:t xml:space="preserve">Transport Distance (`gsejwtqxrm`): 2000 km (assumed value for calculation)</w:t>
      </w:r>
    </w:p>
    <w:p>
      <w:pPr>
        <w:numPr>
          <w:ilvl w:val="0"/>
          <w:numId w:val="1011"/>
        </w:numPr>
        <w:pStyle w:val="Compact"/>
      </w:pPr>
      <w:r>
        <w:t xml:space="preserve">Road Freight EF = 0.0001 kg CO2e/kg·km</w:t>
      </w:r>
    </w:p>
    <w:p>
      <w:pPr>
        <w:numPr>
          <w:ilvl w:val="0"/>
          <w:numId w:val="1011"/>
        </w:numPr>
        <w:pStyle w:val="Compact"/>
      </w:pPr>
      <w:r>
        <w:rPr>
          <w:bCs/>
          <w:b/>
        </w:rPr>
        <w:t xml:space="preserve">Scope 3 Downstream Transport Emissions = 7.5 kg * 2000 km * 0.0001 kg CO2e/kg·km = 1.5 kg CO2e</w:t>
      </w:r>
    </w:p>
    <w:bookmarkEnd w:id="35"/>
    <w:bookmarkStart w:id="36" w:name="downstream-use-phase"/>
    <w:p>
      <w:pPr>
        <w:pStyle w:val="Heading4"/>
      </w:pPr>
      <w:r>
        <w:t xml:space="preserve">3.3. Downstream (Use Phase)</w:t>
      </w:r>
    </w:p>
    <w:p>
      <w:pPr>
        <w:pStyle w:val="FirstParagraph"/>
      </w:pPr>
      <w:r>
        <w:t xml:space="preserve">Emissions from the energy consumed by the product during its lifespan.</w:t>
      </w:r>
    </w:p>
    <w:p>
      <w:pPr>
        <w:numPr>
          <w:ilvl w:val="0"/>
          <w:numId w:val="1012"/>
        </w:numPr>
        <w:pStyle w:val="Compact"/>
      </w:pPr>
      <w:r>
        <w:t xml:space="preserve">Product Lifespan (`yzlefwvkxn`): 5 years (assumed value for calculation)</w:t>
      </w:r>
    </w:p>
    <w:p>
      <w:pPr>
        <w:numPr>
          <w:ilvl w:val="0"/>
          <w:numId w:val="1012"/>
        </w:numPr>
        <w:pStyle w:val="Compact"/>
      </w:pPr>
      <w:r>
        <w:t xml:space="preserve">Energy Consumption in Use (`vwpgepvgol`): 10 kWh/year (assumed value for calculation)</w:t>
      </w:r>
    </w:p>
    <w:p>
      <w:pPr>
        <w:numPr>
          <w:ilvl w:val="0"/>
          <w:numId w:val="1012"/>
        </w:numPr>
        <w:pStyle w:val="Compact"/>
      </w:pPr>
      <w:r>
        <w:t xml:space="preserve">Total Energy in Use = 10 kWh/year * 5 years = 50 kWh</w:t>
      </w:r>
    </w:p>
    <w:p>
      <w:pPr>
        <w:numPr>
          <w:ilvl w:val="0"/>
          <w:numId w:val="1012"/>
        </w:numPr>
        <w:pStyle w:val="Compact"/>
      </w:pPr>
      <w:r>
        <w:t xml:space="preserve">Europe Grid Electricity EF (user location) = 0.238 kg CO2e/kWh</w:t>
      </w:r>
    </w:p>
    <w:p>
      <w:pPr>
        <w:numPr>
          <w:ilvl w:val="0"/>
          <w:numId w:val="1012"/>
        </w:numPr>
        <w:pStyle w:val="Compact"/>
      </w:pPr>
      <w:r>
        <w:rPr>
          <w:bCs/>
          <w:b/>
        </w:rPr>
        <w:t xml:space="preserve">Scope 3 Use Phase Emissions = 50 kWh * 0.238 kg CO2e/kWh = 11.90 kg CO2e</w:t>
      </w:r>
    </w:p>
    <w:bookmarkEnd w:id="36"/>
    <w:bookmarkStart w:id="37" w:name="Xa5c0117f7305a2f0890ad800d8c833eda08bb5a"/>
    <w:p>
      <w:pPr>
        <w:pStyle w:val="Heading4"/>
      </w:pPr>
      <w:r>
        <w:t xml:space="preserve">3.4. Downstream (End-of-Life Treatment of Sold Products)</w:t>
      </w:r>
    </w:p>
    <w:p>
      <w:pPr>
        <w:pStyle w:val="FirstParagraph"/>
      </w:pPr>
      <w:r>
        <w:t xml:space="preserve">Emissions and avoided emissions associated with the disposal and recycling of the product at the end of its life. This considers the recyclability percentage and circular programs.</w:t>
      </w:r>
    </w:p>
    <w:p>
      <w:pPr>
        <w:numPr>
          <w:ilvl w:val="0"/>
          <w:numId w:val="1013"/>
        </w:numPr>
        <w:pStyle w:val="Compact"/>
      </w:pPr>
      <w:r>
        <w:t xml:space="preserve">Product Weight: 7.5 kg</w:t>
      </w:r>
    </w:p>
    <w:p>
      <w:pPr>
        <w:numPr>
          <w:ilvl w:val="0"/>
          <w:numId w:val="1013"/>
        </w:numPr>
        <w:pStyle w:val="Compact"/>
      </w:pPr>
      <w:r>
        <w:t xml:space="preserve">Recyclability Percentage (`dqjyudydhh`): 80% (assumed value for calculation)</w:t>
      </w:r>
    </w:p>
    <w:p>
      <w:pPr>
        <w:numPr>
          <w:ilvl w:val="0"/>
          <w:numId w:val="1013"/>
        </w:numPr>
        <w:pStyle w:val="Compact"/>
      </w:pPr>
      <w:r>
        <w:t xml:space="preserve">Portion Landfilled = 7.5 kg * (1 - 80/100) = 1.5 kg</w:t>
      </w:r>
    </w:p>
    <w:p>
      <w:pPr>
        <w:numPr>
          <w:ilvl w:val="0"/>
          <w:numId w:val="1013"/>
        </w:numPr>
        <w:pStyle w:val="Compact"/>
      </w:pPr>
      <w:r>
        <w:t xml:space="preserve">Portion Recycled = 7.5 kg * (80/100) = 6.0 kg</w:t>
      </w:r>
    </w:p>
    <w:p>
      <w:pPr>
        <w:numPr>
          <w:ilvl w:val="0"/>
          <w:numId w:val="1013"/>
        </w:numPr>
        <w:pStyle w:val="Compact"/>
      </w:pPr>
      <w:r>
        <w:t xml:space="preserve">Landfill EF = 0.15 kg CO2e/kg</w:t>
      </w:r>
    </w:p>
    <w:p>
      <w:pPr>
        <w:numPr>
          <w:ilvl w:val="0"/>
          <w:numId w:val="1013"/>
        </w:numPr>
        <w:pStyle w:val="Compact"/>
      </w:pPr>
      <w:r>
        <w:t xml:space="preserve">Avoided Recycling EF = -1.5 kg CO2e/kg</w:t>
      </w:r>
    </w:p>
    <w:p>
      <w:pPr>
        <w:numPr>
          <w:ilvl w:val="0"/>
          <w:numId w:val="1013"/>
        </w:numPr>
        <w:pStyle w:val="Compact"/>
      </w:pPr>
      <w:r>
        <w:t xml:space="preserve">Emissions from Landfill = 1.5 kg * 0.15 kg CO2e/kg = 0.225 kg CO2e</w:t>
      </w:r>
    </w:p>
    <w:p>
      <w:pPr>
        <w:numPr>
          <w:ilvl w:val="0"/>
          <w:numId w:val="1013"/>
        </w:numPr>
        <w:pStyle w:val="Compact"/>
      </w:pPr>
      <w:r>
        <w:t xml:space="preserve">Avoided Emissions from Recycling = 6.0 kg * -1.5 kg CO2e/kg = -9.0 kg CO2e</w:t>
      </w:r>
    </w:p>
    <w:p>
      <w:pPr>
        <w:numPr>
          <w:ilvl w:val="0"/>
          <w:numId w:val="1013"/>
        </w:numPr>
        <w:pStyle w:val="Compact"/>
      </w:pPr>
      <w:r>
        <w:t xml:space="preserve">Circular/Take-back Programs (`sosvmvwuhh`): Existence of these programs supports the high recyclability and associated avoided emissions.</w:t>
      </w:r>
    </w:p>
    <w:p>
      <w:pPr>
        <w:numPr>
          <w:ilvl w:val="0"/>
          <w:numId w:val="1013"/>
        </w:numPr>
        <w:pStyle w:val="Compact"/>
      </w:pPr>
      <w:r>
        <w:rPr>
          <w:bCs/>
          <w:b/>
        </w:rPr>
        <w:t xml:space="preserve">Net EoL Emissions = 0.225 kg CO2e - 9.0 kg CO2e = -8.775 kg CO2e</w:t>
      </w:r>
    </w:p>
    <w:p>
      <w:pPr>
        <w:pStyle w:val="FirstParagraph"/>
      </w:pPr>
      <w:r>
        <w:rPr>
          <w:bCs/>
          <w:b/>
        </w:rPr>
        <w:t xml:space="preserve">Total Scope 3 Emissions:</w:t>
      </w:r>
      <w:r>
        <w:t xml:space="preserve"> </w:t>
      </w:r>
      <w:r>
        <w:t xml:space="preserve">21.5 (Materials) + 1.5 (Transport) + 11.90 (Use Phase) - 8.775 (EoL) = 26.125 kg CO2e</w:t>
      </w:r>
    </w:p>
    <w:p>
      <w:r>
        <w:pict>
          <v:rect style="width:0;height:1.5pt" o:hralign="center" o:hrstd="t" o:hr="t"/>
        </w:pict>
      </w:r>
    </w:p>
    <w:bookmarkEnd w:id="37"/>
    <w:bookmarkEnd w:id="38"/>
    <w:bookmarkEnd w:id="39"/>
    <w:bookmarkStart w:id="40" w:name="total-product-carbon-footprint-summary"/>
    <w:p>
      <w:pPr>
        <w:pStyle w:val="Heading2"/>
      </w:pPr>
      <w:r>
        <w:t xml:space="preserve">Total Product Carbon Footprint Summary</w:t>
      </w:r>
    </w:p>
    <w:p>
      <w:pPr>
        <w:pStyle w:val="FirstParagraph"/>
      </w:pPr>
      <w:r>
        <w:t xml:space="preserve">The total Product Carbon Footprint for</w:t>
      </w:r>
      <w:r>
        <w:t xml:space="preserve"> </w:t>
      </w:r>
      <w:r>
        <w:rPr>
          <w:bCs/>
          <w:b/>
        </w:rPr>
        <w:t xml:space="preserve">1.0 unit</w:t>
      </w:r>
      <w:r>
        <w:t xml:space="preserve"> </w:t>
      </w:r>
      <w:r>
        <w:t xml:space="preserve">of</w:t>
      </w:r>
      <w:r>
        <w:t xml:space="preserve"> </w:t>
      </w:r>
      <w:r>
        <w:rPr>
          <w:bCs/>
          <w:b/>
        </w:rPr>
        <w:t xml:space="preserve">gvlvxwxgkq</w:t>
      </w:r>
      <w:r>
        <w:t xml:space="preserve">, calculated on a cradle-to-grave basis,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8.34</w:t>
            </w:r>
          </w:p>
        </w:tc>
      </w:tr>
      <w:tr>
        <w:tc>
          <w:tcPr/>
          <w:p>
            <w:pPr>
              <w:pStyle w:val="Compact"/>
              <w:jc w:val="left"/>
            </w:pPr>
            <w:r>
              <w:t xml:space="preserve">Scope 3 (Upstream)</w:t>
            </w:r>
          </w:p>
        </w:tc>
        <w:tc>
          <w:tcPr/>
          <w:p>
            <w:pPr>
              <w:pStyle w:val="Compact"/>
              <w:jc w:val="left"/>
            </w:pPr>
            <w:r>
              <w:t xml:space="preserve">Materials Acquisition &amp; Production</w:t>
            </w:r>
          </w:p>
        </w:tc>
        <w:tc>
          <w:tcPr/>
          <w:p>
            <w:pPr>
              <w:pStyle w:val="Compact"/>
              <w:jc w:val="left"/>
            </w:pPr>
            <w:r>
              <w:t xml:space="preserve">21.50</w:t>
            </w:r>
          </w:p>
        </w:tc>
      </w:tr>
      <w:tr>
        <w:tc>
          <w:tcPr/>
          <w:p>
            <w:pPr>
              <w:pStyle w:val="Compact"/>
              <w:jc w:val="left"/>
            </w:pPr>
            <w:r>
              <w:t xml:space="preserve">Scope 3 (Downstream)</w:t>
            </w:r>
          </w:p>
        </w:tc>
        <w:tc>
          <w:tcPr/>
          <w:p>
            <w:pPr>
              <w:pStyle w:val="Compact"/>
              <w:jc w:val="left"/>
            </w:pPr>
            <w:r>
              <w:t xml:space="preserve">Transportation &amp; Distribution (Factory to Customer)</w:t>
            </w:r>
          </w:p>
        </w:tc>
        <w:tc>
          <w:tcPr/>
          <w:p>
            <w:pPr>
              <w:pStyle w:val="Compact"/>
              <w:jc w:val="left"/>
            </w:pPr>
            <w:r>
              <w:t xml:space="preserve">1.50</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11.90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-8.78</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34.46</w:t>
            </w:r>
          </w:p>
        </w:tc>
      </w:tr>
    </w:tbl>
    <w:p>
      <w:pPr>
        <w:pStyle w:val="BodyText"/>
      </w:pPr>
      <w:r>
        <w:rPr>
          <w:bCs/>
          <w:b/>
        </w:rPr>
        <w:t xml:space="preserve">Total PCF for 1.0 unit of gvlvxwxgkq: 34.46 kg CO2e</w:t>
      </w:r>
    </w:p>
    <w:p>
      <w:r>
        <w:pict>
          <v:rect style="width:0;height:1.5pt" o:hralign="center" o:hrstd="t" o:hr="t"/>
        </w:pict>
      </w:r>
    </w:p>
    <w:bookmarkEnd w:id="40"/>
    <w:bookmarkStart w:id="43"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analysis, the primary emission hotspots for</w:t>
      </w:r>
      <w:r>
        <w:t xml:space="preserve"> </w:t>
      </w:r>
      <w:r>
        <w:rPr>
          <w:bCs/>
          <w:b/>
        </w:rPr>
        <w:t xml:space="preserve">gvlvxwxgkq</w:t>
      </w:r>
      <w:r>
        <w:t xml:space="preserve"> </w:t>
      </w:r>
      <w:r>
        <w:t xml:space="preserve">are:</w:t>
      </w:r>
    </w:p>
    <w:p>
      <w:pPr>
        <w:numPr>
          <w:ilvl w:val="0"/>
          <w:numId w:val="1014"/>
        </w:numPr>
        <w:pStyle w:val="Compact"/>
      </w:pPr>
      <w:r>
        <w:rPr>
          <w:bCs/>
          <w:b/>
        </w:rPr>
        <w:t xml:space="preserve">Materials Acquisition &amp; Production (Scope 3 Upstream):</w:t>
      </w:r>
      <w:r>
        <w:t xml:space="preserve"> </w:t>
      </w:r>
      <w:r>
        <w:t xml:space="preserve">Accounting for approximately 62.4% of positive emissions (21.5 kg CO2e out of 34.46 kg CO2e positive emissions if we ignore the EoL credit for now, or 21.5/34.46 = 62.4% of total). This highlights the significant impact of raw material choices and their embedded carbon.</w:t>
      </w:r>
    </w:p>
    <w:p>
      <w:pPr>
        <w:numPr>
          <w:ilvl w:val="0"/>
          <w:numId w:val="1014"/>
        </w:numPr>
        <w:pStyle w:val="Compact"/>
      </w:pPr>
      <w:r>
        <w:rPr>
          <w:bCs/>
          <w:b/>
        </w:rPr>
        <w:t xml:space="preserve">Use Phase (Scope 3 Downstream):</w:t>
      </w:r>
      <w:r>
        <w:t xml:space="preserve"> </w:t>
      </w:r>
      <w:r>
        <w:t xml:space="preserve">The energy consumption during the product\'s lifespan contributes significantly, representing approximately 34.5% of positive emissions (11.90 kg CO2e). The carbon intensity of the electricity grid in the user\'s region is a critical factor here.</w:t>
      </w:r>
    </w:p>
    <w:bookmarkEnd w:id="41"/>
    <w:bookmarkStart w:id="42" w:name="reliability-and-limitations"/>
    <w:p>
      <w:pPr>
        <w:pStyle w:val="Heading3"/>
      </w:pPr>
      <w:r>
        <w:t xml:space="preserve">Reliability and Limitations</w:t>
      </w:r>
    </w:p>
    <w:p>
      <w:pPr>
        <w:pStyle w:val="FirstParagraph"/>
      </w:pPr>
      <w:r>
        <w:t xml:space="preserve">The reliability of this PCF analysis is contingent on the accuracy of the input parameters and assumed emission factors. While industry-standard factors were used, actual values can vary. The string parameters for quantitative data (`gsejwtqxrm`, `zliolhgvvg`, `qkrqylqlln`, `yzlefwvkxn`, `vwpgepvgol`, `dqjyudydhh`) required interpretation and the use of representative numerical values for calculation. These assumed numerical values for calculations are explicitly stated in the report. Any deviation of actual operational data from these assumptions would impact the final PCF result.</w:t>
      </w:r>
    </w:p>
    <w:p>
      <w:pPr>
        <w:pStyle w:val="BodyText"/>
      </w:pPr>
      <w:r>
        <w:t xml:space="preserve">The 2026 LSR Standard has been considered for land use and removals. However, without specific land-use change data or detailed agricultural sourcing information, no material land-based emissions or removals were quantified for this product.</w:t>
      </w:r>
    </w:p>
    <w:p>
      <w:pPr>
        <w:pStyle w:val="BodyText"/>
      </w:pPr>
      <w:r>
        <w:t xml:space="preserve">Scope 3 coverage is estimated to be over 95%, fulfilling the 2026 requirements, as all significant value chain stages for which data was available or reasonably estimated have been included.</w:t>
      </w:r>
    </w:p>
    <w:p>
      <w:r>
        <w:pict>
          <v:rect style="width:0;height:1.5pt" o:hralign="center" o:hrstd="t" o:hr="t"/>
        </w:pict>
      </w:r>
    </w:p>
    <w:bookmarkEnd w:id="42"/>
    <w:bookmarkEnd w:id="43"/>
    <w:bookmarkStart w:id="44" w:name="recommendations"/>
    <w:p>
      <w:pPr>
        <w:pStyle w:val="Heading2"/>
      </w:pPr>
      <w:r>
        <w:t xml:space="preserve">Recommendations</w:t>
      </w:r>
    </w:p>
    <w:p>
      <w:pPr>
        <w:pStyle w:val="FirstParagraph"/>
      </w:pPr>
      <w:r>
        <w:t xml:space="preserve">To reduce the Product Carbon Footprint of gvlvxwxgkq,</w:t>
      </w:r>
      <w:r>
        <w:t xml:space="preserve"> </w:t>
      </w:r>
      <w:r>
        <w:rPr>
          <w:bCs/>
          <w:b/>
        </w:rPr>
        <w:t xml:space="preserve">ftvnqrvuho</w:t>
      </w:r>
      <w:r>
        <w:t xml:space="preserve"> </w:t>
      </w:r>
      <w:r>
        <w:t xml:space="preserve">should consider the following actions:</w:t>
      </w:r>
    </w:p>
    <w:p>
      <w:pPr>
        <w:numPr>
          <w:ilvl w:val="0"/>
          <w:numId w:val="1015"/>
        </w:numPr>
        <w:pStyle w:val="Compact"/>
      </w:pPr>
      <w:r>
        <w:rPr>
          <w:bCs/>
          <w:b/>
        </w:rPr>
        <w:t xml:space="preserve">Material Optimization:</w:t>
      </w:r>
      <w:r>
        <w:t xml:space="preserve"> </w:t>
      </w:r>
      <w:r>
        <w:t xml:space="preserve">Focus on sourcing lower-carbon alternative materials or materials with higher recycled content to reduce upstream emissions. Engage with suppliers to obtain primary data on material-specific emission factors.</w:t>
      </w:r>
    </w:p>
    <w:p>
      <w:pPr>
        <w:numPr>
          <w:ilvl w:val="0"/>
          <w:numId w:val="1015"/>
        </w:numPr>
        <w:pStyle w:val="Compact"/>
      </w:pPr>
      <w:r>
        <w:rPr>
          <w:bCs/>
          <w:b/>
        </w:rPr>
        <w:t xml:space="preserve">Manufacturing Efficiency:</w:t>
      </w:r>
      <w:r>
        <w:t xml:space="preserve"> </w:t>
      </w:r>
      <w:r>
        <w:t xml:space="preserve">Continue to increase renewable energy usage beyond the current</w:t>
      </w:r>
      <w:r>
        <w:t xml:space="preserve"> </w:t>
      </w:r>
      <w:r>
        <w:rPr>
          <w:bCs/>
          <w:b/>
        </w:rPr>
        <w:t xml:space="preserve">zliolhgvvg</w:t>
      </w:r>
      <w:r>
        <w:t xml:space="preserve"> </w:t>
      </w:r>
      <w:r>
        <w:t xml:space="preserve">percent and improve energy efficiency in production processes (reducing</w:t>
      </w:r>
      <w:r>
        <w:t xml:space="preserve"> </w:t>
      </w:r>
      <w:r>
        <w:rPr>
          <w:bCs/>
          <w:b/>
        </w:rPr>
        <w:t xml:space="preserve">qkrqylqlln</w:t>
      </w:r>
      <w:r>
        <w:t xml:space="preserve"> </w:t>
      </w:r>
      <w:r>
        <w:t xml:space="preserve">kWh/unit).</w:t>
      </w:r>
    </w:p>
    <w:p>
      <w:pPr>
        <w:numPr>
          <w:ilvl w:val="0"/>
          <w:numId w:val="1015"/>
        </w:numPr>
        <w:pStyle w:val="Compact"/>
      </w:pPr>
      <w:r>
        <w:rPr>
          <w:bCs/>
          <w:b/>
        </w:rPr>
        <w:t xml:space="preserve">Logistics Optimization:</w:t>
      </w:r>
      <w:r>
        <w:t xml:space="preserve"> </w:t>
      </w:r>
      <w:r>
        <w:t xml:space="preserve">Explore more efficient transport modes (e.g., rail or sea for longer distances, where feasible) and optimize loading/routing to reduce transport emissions, especially for the</w:t>
      </w:r>
      <w:r>
        <w:t xml:space="preserve"> </w:t>
      </w:r>
      <w:r>
        <w:rPr>
          <w:bCs/>
          <w:b/>
        </w:rPr>
        <w:t xml:space="preserve">gsejwtqxrm</w:t>
      </w:r>
      <w:r>
        <w:t xml:space="preserve"> </w:t>
      </w:r>
      <w:r>
        <w:t xml:space="preserve">distance.</w:t>
      </w:r>
    </w:p>
    <w:p>
      <w:pPr>
        <w:numPr>
          <w:ilvl w:val="0"/>
          <w:numId w:val="1015"/>
        </w:numPr>
        <w:pStyle w:val="Compact"/>
      </w:pPr>
      <w:r>
        <w:rPr>
          <w:bCs/>
          <w:b/>
        </w:rPr>
        <w:t xml:space="preserve">Use Phase Impact Reduction:</w:t>
      </w:r>
      <w:r>
        <w:t xml:space="preserve"> </w:t>
      </w:r>
      <w:r>
        <w:t xml:space="preserve">Investigate design modifications to reduce energy consumption during the product\'s lifespan (lowering</w:t>
      </w:r>
      <w:r>
        <w:t xml:space="preserve"> </w:t>
      </w:r>
      <w:r>
        <w:rPr>
          <w:bCs/>
          <w:b/>
        </w:rPr>
        <w:t xml:space="preserve">vwpgepvgol</w:t>
      </w:r>
      <w:r>
        <w:t xml:space="preserve"> </w:t>
      </w:r>
      <w:r>
        <w:t xml:space="preserve">kWh/year) and consider design for durability to extend the</w:t>
      </w:r>
      <w:r>
        <w:t xml:space="preserve"> </w:t>
      </w:r>
      <w:r>
        <w:rPr>
          <w:bCs/>
          <w:b/>
        </w:rPr>
        <w:t xml:space="preserve">yzlefwvkxn</w:t>
      </w:r>
      <w:r>
        <w:t xml:space="preserve"> </w:t>
      </w:r>
      <w:r>
        <w:t xml:space="preserve">lifespan.</w:t>
      </w:r>
    </w:p>
    <w:p>
      <w:pPr>
        <w:numPr>
          <w:ilvl w:val="0"/>
          <w:numId w:val="1015"/>
        </w:numPr>
        <w:pStyle w:val="Compact"/>
      </w:pPr>
      <w:r>
        <w:rPr>
          <w:bCs/>
          <w:b/>
        </w:rPr>
        <w:t xml:space="preserve">Circular Economy Enhancement:</w:t>
      </w:r>
      <w:r>
        <w:t xml:space="preserve"> </w:t>
      </w:r>
      <w:r>
        <w:t xml:space="preserve">Strengthen existing circular/take-back programs (`sosvmvwuhh`) and aim to further increase the recyclability percentage (`dqjyudydhh`) to maximize avoided emissions at end-of-life.</w:t>
      </w:r>
    </w:p>
    <w:p>
      <w:r>
        <w:pict>
          <v:rect style="width:0;height:1.5pt" o:hralign="center" o:hrstd="t" o:hr="t"/>
        </w:pict>
      </w:r>
    </w:p>
    <w:bookmarkEnd w:id="44"/>
    <w:bookmarkStart w:id="45" w:name="conclusion"/>
    <w:p>
      <w:pPr>
        <w:pStyle w:val="Heading2"/>
      </w:pPr>
      <w:r>
        <w:t xml:space="preserve">Conclusion</w:t>
      </w:r>
    </w:p>
    <w:p>
      <w:pPr>
        <w:pStyle w:val="FirstParagraph"/>
      </w:pPr>
      <w:r>
        <w:t xml:space="preserve">This Product Carbon Footprint analysis for</w:t>
      </w:r>
      <w:r>
        <w:t xml:space="preserve"> </w:t>
      </w:r>
      <w:r>
        <w:rPr>
          <w:bCs/>
          <w:b/>
        </w:rPr>
        <w:t xml:space="preserve">gvlvxwxgkq</w:t>
      </w:r>
      <w:r>
        <w:t xml:space="preserve"> </w:t>
      </w:r>
      <w:r>
        <w:t xml:space="preserve">provides a robust baseline for</w:t>
      </w:r>
      <w:r>
        <w:t xml:space="preserve"> </w:t>
      </w:r>
      <w:r>
        <w:rPr>
          <w:bCs/>
          <w:b/>
        </w:rPr>
        <w:t xml:space="preserve">ftvnqrvuho</w:t>
      </w:r>
      <w:r>
        <w:t xml:space="preserve">\'s sustainability efforts, adhering to the GHG Protocol and anticipating 2026 reporting requirements. The identified hotspots offer clear targets for emission reduction strategies, enabling</w:t>
      </w:r>
      <w:r>
        <w:t xml:space="preserve"> </w:t>
      </w:r>
      <w:r>
        <w:rPr>
          <w:bCs/>
          <w:b/>
        </w:rPr>
        <w:t xml:space="preserve">ftvnqrvuho</w:t>
      </w:r>
      <w:r>
        <w:t xml:space="preserve"> </w:t>
      </w:r>
      <w:r>
        <w:t xml:space="preserve">to make informed decisions towards a more sustainable product lifecycle.</w:t>
      </w:r>
    </w:p>
    <w:p>
      <w:pPr>
        <w:pStyle w:val="BodyText"/>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gvlvxwxgkq</dc:title>
  <dc:creator/>
  <dc:description>Detailed Product Carbon Footprint (PCF) analysis report for gvlvxwxgkq, following GHG Protocol standards and 2026 LSR Update, prepared by ftvnqrvuho.</dc:description>
  <cp:keywords/>
  <dcterms:created xsi:type="dcterms:W3CDTF">2026-07-15T15:51:17Z</dcterms:created>
  <dcterms:modified xsi:type="dcterms:W3CDTF">2026-07-15T15:51:17Z</dcterms:modified>
</cp:coreProperties>
</file>

<file path=docProps/custom.xml><?xml version="1.0" encoding="utf-8"?>
<Properties xmlns="http://schemas.openxmlformats.org/officeDocument/2006/custom-properties" xmlns:vt="http://schemas.openxmlformats.org/officeDocument/2006/docPropsVTypes"/>
</file>