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gtntrkkwxe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gtntrkkwxe</w:t>
      </w:r>
    </w:p>
    <w:p>
      <w:pPr>
        <w:pStyle w:val="BodyText"/>
      </w:pPr>
      <w:r>
        <w:rPr>
          <w:bCs/>
          <w:b/>
        </w:rPr>
        <w:t xml:space="preserve">Company:</w:t>
      </w:r>
      <w:r>
        <w:t xml:space="preserve"> </w:t>
      </w:r>
      <w:r>
        <w:t xml:space="preserve">wkihzmjxdr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ikwjzgmkrx</w:t>
      </w:r>
    </w:p>
    <w:p>
      <w:pPr>
        <w:pStyle w:val="BodyText"/>
      </w:pPr>
      <w:r>
        <w:t xml:space="preserve">Disclaimer: This report is generated based on available data and industry standards. While efforts have been made to ensure accuracy, actual emissions may vary depending on specific operational conditions and data precision.</w:t>
      </w:r>
    </w:p>
    <w:bookmarkEnd w:id="20"/>
    <w:bookmarkStart w:id="43" w:name="X92bf0b24a1d754c56d6bd30dd0b75b4e10564df"/>
    <w:p>
      <w:pPr>
        <w:pStyle w:val="Heading1"/>
      </w:pPr>
      <w:r>
        <w:t xml:space="preserve">Product Carbon Footprint Analysis Report for gtntrkkwxe</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ikwjzgmkrx</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gtntrkkwxe, manufactured by wkihzmjxdr. The analysis was conducted by ikwjzgmkrx, a Senior Sustainability Consultant specializing in the GHG Protocol. The assessment adheres strictly to the GHG Protocol accounting standard, incorporating the 2026 Land Sector and Removals (LSR) update and ensuring at least 95% coverage for Scope 3 emissions. Key lifecycle stages, from raw material extraction to end-of-life, have been evaluated using specific company data and industry-standard emission factors to identify major emission hotspots and provide a comprehensive overview of the product\'s environmental impact.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step of the Product Carbon Footprint (PCF) analysis involves clearly defining the scope to ensure accurate and consistent results.</w:t>
      </w:r>
    </w:p>
    <w:p>
      <w:pPr>
        <w:numPr>
          <w:ilvl w:val="0"/>
          <w:numId w:val="1001"/>
        </w:numPr>
        <w:pStyle w:val="Compact"/>
      </w:pPr>
      <w:r>
        <w:rPr>
          <w:bCs/>
          <w:b/>
        </w:rPr>
        <w:t xml:space="preserve">Functional Unit:</w:t>
      </w:r>
      <w:r>
        <w:t xml:space="preserve"> </w:t>
      </w:r>
      <w:r>
        <w:t xml:space="preserve">1.0 unit of gtntrkkwxe.</w:t>
      </w:r>
    </w:p>
    <w:p>
      <w:pPr>
        <w:numPr>
          <w:ilvl w:val="0"/>
          <w:numId w:val="1001"/>
        </w:numPr>
        <w:pStyle w:val="Compact"/>
      </w:pPr>
      <w:r>
        <w:rPr>
          <w:bCs/>
          <w:b/>
        </w:rPr>
        <w:t xml:space="preserve">System Boundary:</w:t>
      </w:r>
      <w:r>
        <w:t xml:space="preserve"> </w:t>
      </w:r>
      <w:r>
        <w:t xml:space="preserve">factory_gate. This boundary includes all upstream emissions related to raw material acquisition, manufacturing, and transport to the factory gate, as well as emissions from the manufacturing processes within the factory. Downstream emissions from product use and end-of-life are also included as per GHG Protocol Scope 3 requirements.</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emissions are based on the Chinese electricity grid and operational factors, while upstream supply chain elements and potentially downstream use phases consider European contexts where applicable.</w:t>
      </w:r>
    </w:p>
    <w:p>
      <w:pPr>
        <w:numPr>
          <w:ilvl w:val="0"/>
          <w:numId w:val="1001"/>
        </w:numPr>
        <w:pStyle w:val="Compact"/>
      </w:pPr>
      <w:r>
        <w:rPr>
          <w:bCs/>
          <w:b/>
        </w:rPr>
        <w:t xml:space="preserve">Accounting Standard:</w:t>
      </w:r>
      <w:r>
        <w:t xml:space="preserve"> </w:t>
      </w:r>
      <w:r>
        <w:t xml:space="preserve">GHG Protocol. This analysis strictly follows the Greenhouse Gas Protocol Corporate Accounting and Reporting Standard, and the Product Standard, ensuring categorization into Scope 1, Scope 2, and Scope 3 emissions.</w:t>
      </w:r>
    </w:p>
    <w:p>
      <w:pPr>
        <w:numPr>
          <w:ilvl w:val="0"/>
          <w:numId w:val="1001"/>
        </w:numPr>
        <w:pStyle w:val="Compact"/>
      </w:pPr>
      <w:r>
        <w:rPr>
          <w:bCs/>
          <w:b/>
        </w:rPr>
        <w:t xml:space="preserve">Allocation:</w:t>
      </w:r>
      <w:r>
        <w:t xml:space="preserve"> </w:t>
      </w:r>
      <w:r>
        <w:t xml:space="preserve">Emissions are allocated directly to the functional unit (1.0 unit of gtntrkkwxe). For shared processes, allocation is performed based on mass, economic value, or other relevant physical relationships, as per GHG Protocol guidance.</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lifecycle inventory stages and the specific data collected for each stage of gtntrkkwxe\'s product lifecycle, from raw materials to end-of-life.</w:t>
      </w:r>
    </w:p>
    <w:bookmarkStart w:id="23" w:name="X4dafafe4a63eba5025fca8fd479a2f5da492c68"/>
    <w:p>
      <w:pPr>
        <w:pStyle w:val="Heading3"/>
      </w:pPr>
      <w:r>
        <w:t xml:space="preserve">2.1. Material Acquisition &amp; Pre-processing (Upstream - Scope 3, Category 1)</w:t>
      </w:r>
    </w:p>
    <w:p>
      <w:pPr>
        <w:pStyle w:val="FirstParagraph"/>
      </w:pPr>
      <w:r>
        <w:t xml:space="preserve">The Detailed Bill of Materials (BOM) for gtntrkkwxe (srjktudw) was used to calculate the material-related emissions with high accuracy. The provided "Emission Factor" for each item includes cradle-to-gate emissions for that specific material and process.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3.1</w:t>
            </w:r>
          </w:p>
        </w:tc>
        <w:tc>
          <w:tcPr/>
          <w:p>
            <w:pPr>
              <w:pStyle w:val="Compact"/>
              <w:jc w:val="left"/>
            </w:pPr>
            <w:r>
              <w:t xml:space="preserve">3.72</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18.0</w:t>
            </w:r>
          </w:p>
        </w:tc>
        <w:tc>
          <w:tcPr/>
          <w:p>
            <w:pPr>
              <w:pStyle w:val="Compact"/>
              <w:jc w:val="left"/>
            </w:pPr>
            <w:r>
              <w:t xml:space="preserve">5.4</w:t>
            </w:r>
          </w:p>
        </w:tc>
      </w:tr>
      <w:tr>
        <w:tc>
          <w:tcPr>
            <w:gridSpan w:val="7"/>
          </w:tcPr>
          <w:p>
            <w:pPr>
              <w:pStyle w:val="Compact"/>
              <w:jc w:val="right"/>
            </w:pPr>
            <w:r>
              <w:rPr>
                <w:bCs/>
                <w:b/>
              </w:rPr>
              <w:t xml:space="preserve">Total Material Emissions:</w:t>
            </w:r>
          </w:p>
        </w:tc>
        <w:tc>
          <w:tcPr/>
          <w:p>
            <w:pPr>
              <w:pStyle w:val="Compact"/>
              <w:jc w:val="left"/>
            </w:pPr>
            <w:r>
              <w:rPr>
                <w:bCs/>
                <w:b/>
              </w:rPr>
              <w:t xml:space="preserve">16.12</w:t>
            </w:r>
          </w:p>
        </w:tc>
      </w:tr>
    </w:tbl>
    <w:p>
      <w:pPr>
        <w:pStyle w:val="BodyText"/>
      </w:pPr>
      <w:r>
        <w:rPr>
          <w:iCs/>
          <w:i/>
        </w:rPr>
        <w:t xml:space="preserve">Note: The "Total Carbon" values were derived by multiplying "Quantity (Qty)" by "Emission Factor" for each item as per the provided BOM format.</w:t>
      </w:r>
    </w:p>
    <w:bookmarkEnd w:id="23"/>
    <w:bookmarkStart w:id="24" w:name="Xbef91c4cb110b44b1557e79dccae88e3a1a5352"/>
    <w:p>
      <w:pPr>
        <w:pStyle w:val="Heading3"/>
      </w:pPr>
      <w:r>
        <w:t xml:space="preserve">2.2. Manufacturing / Production (Factory Gate - Scope 1 &amp; 2)</w:t>
      </w:r>
    </w:p>
    <w:p>
      <w:pPr>
        <w:pStyle w:val="FirstParagraph"/>
      </w:pPr>
      <w:r>
        <w:t xml:space="preserve">Emissions from the production phase are calculated based on the energy consumption at the manufacturing facility in China.</w:t>
      </w:r>
    </w:p>
    <w:p>
      <w:pPr>
        <w:numPr>
          <w:ilvl w:val="0"/>
          <w:numId w:val="1002"/>
        </w:numPr>
        <w:pStyle w:val="Compact"/>
      </w:pPr>
      <w:r>
        <w:rPr>
          <w:bCs/>
          <w:b/>
        </w:rPr>
        <w:t xml:space="preserve">Energy Intensity (kWh/unit):</w:t>
      </w:r>
      <w:r>
        <w:t xml:space="preserve"> </w:t>
      </w:r>
      <w:r>
        <w:t xml:space="preserve">50 kWh/unit (ikqejyrdeo)</w:t>
      </w:r>
    </w:p>
    <w:p>
      <w:pPr>
        <w:numPr>
          <w:ilvl w:val="0"/>
          <w:numId w:val="1002"/>
        </w:numPr>
        <w:pStyle w:val="Compact"/>
      </w:pPr>
      <w:r>
        <w:rPr>
          <w:bCs/>
          <w:b/>
        </w:rPr>
        <w:t xml:space="preserve">Renewable Energy Usage:</w:t>
      </w:r>
      <w:r>
        <w:t xml:space="preserve"> </w:t>
      </w:r>
      <w:r>
        <w:t xml:space="preserve">60% (tzkhhsftnh)</w:t>
      </w:r>
    </w:p>
    <w:p>
      <w:pPr>
        <w:numPr>
          <w:ilvl w:val="0"/>
          <w:numId w:val="1002"/>
        </w:numPr>
        <w:pStyle w:val="Compact"/>
      </w:pPr>
      <w:r>
        <w:rPr>
          <w:bCs/>
          <w:b/>
        </w:rPr>
        <w:t xml:space="preserve">Non-Renewable Energy Usage:</w:t>
      </w:r>
      <w:r>
        <w:t xml:space="preserve"> </w:t>
      </w:r>
      <w:r>
        <w:t xml:space="preserve">40% (100% - 60%)</w:t>
      </w:r>
    </w:p>
    <w:p>
      <w:pPr>
        <w:numPr>
          <w:ilvl w:val="0"/>
          <w:numId w:val="1002"/>
        </w:numPr>
        <w:pStyle w:val="Compact"/>
      </w:pPr>
      <w:r>
        <w:rPr>
          <w:bCs/>
          <w:b/>
        </w:rPr>
        <w:t xml:space="preserve">Electricity Grid Emission Factor (China):</w:t>
      </w:r>
      <w:r>
        <w:t xml:space="preserve"> </w:t>
      </w:r>
      <w:r>
        <w:t xml:space="preserve">0.6835 kg CO2e/kWh (life cycle, 2021 average).</w:t>
      </w:r>
    </w:p>
    <w:p>
      <w:pPr>
        <w:numPr>
          <w:ilvl w:val="0"/>
          <w:numId w:val="1002"/>
        </w:numPr>
        <w:pStyle w:val="Compact"/>
      </w:pPr>
      <w:r>
        <w:rPr>
          <w:bCs/>
          <w:b/>
        </w:rPr>
        <w:t xml:space="preserve">Scope 1 (Direct Emissions):</w:t>
      </w:r>
      <w:r>
        <w:t xml:space="preserve"> </w:t>
      </w:r>
      <w:r>
        <w:t xml:space="preserve">Assumed to be negligible for the factory_gate system boundary, as direct fuel combustion data was not provided. Any direct process emissions would be captured here.</w:t>
      </w:r>
    </w:p>
    <w:p>
      <w:pPr>
        <w:numPr>
          <w:ilvl w:val="0"/>
          <w:numId w:val="1002"/>
        </w:numPr>
        <w:pStyle w:val="Compact"/>
      </w:pPr>
      <w:r>
        <w:rPr>
          <w:bCs/>
          <w:b/>
        </w:rPr>
        <w:t xml:space="preserve">Scope 2 (Purchased Electricity Emissions):</w:t>
      </w:r>
    </w:p>
    <w:p>
      <w:pPr>
        <w:numPr>
          <w:ilvl w:val="1"/>
          <w:numId w:val="1003"/>
        </w:numPr>
        <w:pStyle w:val="Compact"/>
      </w:pPr>
      <w:r>
        <w:t xml:space="preserve">Non-renewable electricity consumption: 50 kWh/unit * 40% = 20 kWh/unit</w:t>
      </w:r>
    </w:p>
    <w:p>
      <w:pPr>
        <w:numPr>
          <w:ilvl w:val="1"/>
          <w:numId w:val="1003"/>
        </w:numPr>
        <w:pStyle w:val="Compact"/>
      </w:pPr>
      <w:r>
        <w:t xml:space="preserve">Scope 2 Emissions: 20 kWh/unit * 0.6835 kg CO2e/kWh = 13.67 kg CO2e/unit</w:t>
      </w:r>
    </w:p>
    <w:bookmarkEnd w:id="24"/>
    <w:bookmarkStart w:id="25" w:name="X0f9566386b222a370b3da49ec0775f0323e3236"/>
    <w:p>
      <w:pPr>
        <w:pStyle w:val="Heading3"/>
      </w:pPr>
      <w:r>
        <w:t xml:space="preserve">2.3. Transportation &amp; Distribution (Upstream - Scope 3, Category 4)</w:t>
      </w:r>
    </w:p>
    <w:p>
      <w:pPr>
        <w:pStyle w:val="FirstParagraph"/>
      </w:pPr>
      <w:r>
        <w:t xml:space="preserve">Logistics data was incorporated for upstream supply chain analysis. We assume raw materials are sourced and transported to the production facility. For the purpose of this analysis, illustrative distances and vehicle types are assumed due to the placeholder data provided.</w:t>
      </w:r>
    </w:p>
    <w:p>
      <w:pPr>
        <w:numPr>
          <w:ilvl w:val="0"/>
          <w:numId w:val="1004"/>
        </w:numPr>
        <w:pStyle w:val="Compact"/>
      </w:pPr>
      <w:r>
        <w:rPr>
          <w:bCs/>
          <w:b/>
        </w:rPr>
        <w:t xml:space="preserve">Assumed Transport Mode:</w:t>
      </w:r>
      <w:r>
        <w:t xml:space="preserve"> </w:t>
      </w:r>
      <w:r>
        <w:t xml:space="preserve">Road freight, articulated lorry, &gt;32 tonnes, Euro VI (Select Mode placeholder).</w:t>
      </w:r>
    </w:p>
    <w:p>
      <w:pPr>
        <w:numPr>
          <w:ilvl w:val="0"/>
          <w:numId w:val="1004"/>
        </w:numPr>
        <w:pStyle w:val="Compact"/>
      </w:pPr>
      <w:r>
        <w:rPr>
          <w:bCs/>
          <w:b/>
        </w:rPr>
        <w:t xml:space="preserve">Assumed Transport Distance (Average per unit mass of materials):</w:t>
      </w:r>
      <w:r>
        <w:t xml:space="preserve"> </w:t>
      </w:r>
      <w:r>
        <w:t xml:space="preserve">8000 km (ookdizhqfd placeholder, assumed for intercontinental transport of materials to China).</w:t>
      </w:r>
    </w:p>
    <w:p>
      <w:pPr>
        <w:numPr>
          <w:ilvl w:val="0"/>
          <w:numId w:val="1004"/>
        </w:numPr>
        <w:pStyle w:val="Compact"/>
      </w:pPr>
      <w:r>
        <w:rPr>
          <w:bCs/>
          <w:b/>
        </w:rPr>
        <w:t xml:space="preserve">Assumed Average Material Mass per Unit:</w:t>
      </w:r>
      <w:r>
        <w:t xml:space="preserve"> </w:t>
      </w:r>
      <w:r>
        <w:t xml:space="preserve">Sum of Qty from BOM = 2.5 + 1.2 + 0.1 + 0.3 = 4.1 kg.</w:t>
      </w:r>
    </w:p>
    <w:p>
      <w:pPr>
        <w:numPr>
          <w:ilvl w:val="0"/>
          <w:numId w:val="1004"/>
        </w:numPr>
        <w:pStyle w:val="Compact"/>
      </w:pPr>
      <w:r>
        <w:rPr>
          <w:bCs/>
          <w:b/>
        </w:rPr>
        <w:t xml:space="preserve">Emission Factor (Road freight):</w:t>
      </w:r>
      <w:r>
        <w:t xml:space="preserve"> </w:t>
      </w:r>
      <w:r>
        <w:t xml:space="preserve">0.08 kg CO2e/tonne-km (illustrative industry-standard factor).</w:t>
      </w:r>
    </w:p>
    <w:p>
      <w:pPr>
        <w:numPr>
          <w:ilvl w:val="0"/>
          <w:numId w:val="1004"/>
        </w:numPr>
        <w:pStyle w:val="Compact"/>
      </w:pPr>
      <w:r>
        <w:rPr>
          <w:bCs/>
          <w:b/>
        </w:rPr>
        <w:t xml:space="preserve">Assumed Last-Mile Delivery Channel:</w:t>
      </w:r>
      <w:r>
        <w:t xml:space="preserve"> </w:t>
      </w:r>
      <w:r>
        <w:t xml:space="preserve">Delivery van (Delivery Type placeholder).</w:t>
      </w:r>
    </w:p>
    <w:p>
      <w:pPr>
        <w:numPr>
          <w:ilvl w:val="0"/>
          <w:numId w:val="1004"/>
        </w:numPr>
        <w:pStyle w:val="Compact"/>
      </w:pPr>
      <w:r>
        <w:rPr>
          <w:bCs/>
          <w:b/>
        </w:rPr>
        <w:t xml:space="preserve">Assumed Last-Mile Distance:</w:t>
      </w:r>
      <w:r>
        <w:t xml:space="preserve"> </w:t>
      </w:r>
      <w:r>
        <w:t xml:space="preserve">50 km (illustrative for delivery to initial distribution center/customer).</w:t>
      </w:r>
    </w:p>
    <w:p>
      <w:pPr>
        <w:numPr>
          <w:ilvl w:val="0"/>
          <w:numId w:val="1004"/>
        </w:numPr>
        <w:pStyle w:val="Compact"/>
      </w:pPr>
      <w:r>
        <w:rPr>
          <w:bCs/>
          <w:b/>
        </w:rPr>
        <w:t xml:space="preserve">Emission Factor (Light Commercial Vehicle):</w:t>
      </w:r>
      <w:r>
        <w:t xml:space="preserve"> </w:t>
      </w:r>
      <w:r>
        <w:t xml:space="preserve">0.2 kg CO2e/tonne-km (illustrative industry-standard factor).</w:t>
      </w:r>
    </w:p>
    <w:bookmarkEnd w:id="25"/>
    <w:bookmarkStart w:id="26" w:name="X01fffecb4d51cf9638741502492363d57dc681a"/>
    <w:p>
      <w:pPr>
        <w:pStyle w:val="Heading3"/>
      </w:pPr>
      <w:r>
        <w:t xml:space="preserve">2.4. Use Phase (Downstream - Scope 3, Category 11)</w:t>
      </w:r>
    </w:p>
    <w:p>
      <w:pPr>
        <w:pStyle w:val="FirstParagraph"/>
      </w:pPr>
      <w:r>
        <w:t xml:space="preserve">The product\'s use phase energy consumption and lifespan are critical for downstream emissions.</w:t>
      </w:r>
    </w:p>
    <w:p>
      <w:pPr>
        <w:numPr>
          <w:ilvl w:val="0"/>
          <w:numId w:val="1005"/>
        </w:numPr>
        <w:pStyle w:val="Compact"/>
      </w:pPr>
      <w:r>
        <w:rPr>
          <w:bCs/>
          <w:b/>
        </w:rPr>
        <w:t xml:space="preserve">Product Lifespan:</w:t>
      </w:r>
      <w:r>
        <w:t xml:space="preserve"> </w:t>
      </w:r>
      <w:r>
        <w:t xml:space="preserve">7 years (yefdgdopdv)</w:t>
      </w:r>
    </w:p>
    <w:p>
      <w:pPr>
        <w:numPr>
          <w:ilvl w:val="0"/>
          <w:numId w:val="1005"/>
        </w:numPr>
        <w:pStyle w:val="Compact"/>
      </w:pPr>
      <w:r>
        <w:rPr>
          <w:bCs/>
          <w:b/>
        </w:rPr>
        <w:t xml:space="preserve">Energy Consumption in Use:</w:t>
      </w:r>
      <w:r>
        <w:t xml:space="preserve"> </w:t>
      </w:r>
      <w:r>
        <w:t xml:space="preserve">10 kWh/year (irjrsollxq)</w:t>
      </w:r>
    </w:p>
    <w:p>
      <w:pPr>
        <w:numPr>
          <w:ilvl w:val="0"/>
          <w:numId w:val="1005"/>
        </w:numPr>
        <w:pStyle w:val="Compact"/>
      </w:pPr>
      <w:r>
        <w:rPr>
          <w:bCs/>
          <w:b/>
        </w:rPr>
        <w:t xml:space="preserve">Electricity Grid Emission Factor (Europe, assumed use region):</w:t>
      </w:r>
      <w:r>
        <w:t xml:space="preserve"> </w:t>
      </w:r>
      <w:r>
        <w:t xml:space="preserve">0.255 kg CO2e/kWh (2022 EU average).</w:t>
      </w:r>
    </w:p>
    <w:bookmarkEnd w:id="26"/>
    <w:bookmarkStart w:id="27" w:name="Xfd069e7e5106f6c55e532b52df751e12046219f"/>
    <w:p>
      <w:pPr>
        <w:pStyle w:val="Heading3"/>
      </w:pPr>
      <w:r>
        <w:t xml:space="preserve">2.5. End-of-Life (Downstream - Scope 3, Category 12)</w:t>
      </w:r>
    </w:p>
    <w:p>
      <w:pPr>
        <w:pStyle w:val="FirstParagraph"/>
      </w:pPr>
      <w:r>
        <w:t xml:space="preserve">End-of-life scenarios reflect circular economy impacts based on recyclability and programs.</w:t>
      </w:r>
    </w:p>
    <w:p>
      <w:pPr>
        <w:numPr>
          <w:ilvl w:val="0"/>
          <w:numId w:val="1006"/>
        </w:numPr>
        <w:pStyle w:val="Compact"/>
      </w:pPr>
      <w:r>
        <w:rPr>
          <w:bCs/>
          <w:b/>
        </w:rPr>
        <w:t xml:space="preserve">Recyclability Percentage:</w:t>
      </w:r>
      <w:r>
        <w:t xml:space="preserve"> </w:t>
      </w:r>
      <w:r>
        <w:t xml:space="preserve">80% (mkilkkrmgi)</w:t>
      </w:r>
    </w:p>
    <w:p>
      <w:pPr>
        <w:numPr>
          <w:ilvl w:val="0"/>
          <w:numId w:val="1006"/>
        </w:numPr>
        <w:pStyle w:val="Compact"/>
      </w:pPr>
      <w:r>
        <w:rPr>
          <w:bCs/>
          <w:b/>
        </w:rPr>
        <w:t xml:space="preserve">Circular/Take-back Programs:</w:t>
      </w:r>
      <w:r>
        <w:t xml:space="preserve"> </w:t>
      </w:r>
      <w:r>
        <w:t xml:space="preserve">Yes, company-operated take-back scheme (dfequgjtil). This indicates a managed EoL process.</w:t>
      </w:r>
    </w:p>
    <w:p>
      <w:r>
        <w:pict>
          <v:rect style="width:0;height:1.5pt" o:hralign="center" o:hrstd="t" o:hr="t"/>
        </w:pict>
      </w:r>
    </w:p>
    <w:bookmarkEnd w:id="27"/>
    <w:bookmarkEnd w:id="28"/>
    <w:bookmarkStart w:id="38" w:name="Xb404f6bea4a0013006ec7a9103609d9ea6643c1"/>
    <w:p>
      <w:pPr>
        <w:pStyle w:val="Heading2"/>
      </w:pPr>
      <w:r>
        <w:t xml:space="preserve">4. Calculate Emissions (Activity * Emission Factor = CO2e)</w:t>
      </w:r>
    </w:p>
    <w:p>
      <w:pPr>
        <w:pStyle w:val="FirstParagraph"/>
      </w:pPr>
      <w:r>
        <w:t xml:space="preserve">This section quantifies the greenhouse gas emissions for each stage of the product lifecycle, categorized by GHG Protocol scopes.</w:t>
      </w:r>
    </w:p>
    <w:bookmarkStart w:id="29" w:name="Xa5e05c0e793b2e3b8927cb1b228e81f97f2094b"/>
    <w:p>
      <w:pPr>
        <w:pStyle w:val="Heading3"/>
      </w:pPr>
      <w:r>
        <w:t xml:space="preserve">4.1. Scope 1 Emissions (Direct Emissions from Owned or Controlled Sources)</w:t>
      </w:r>
    </w:p>
    <w:p>
      <w:pPr>
        <w:numPr>
          <w:ilvl w:val="0"/>
          <w:numId w:val="1007"/>
        </w:numPr>
        <w:pStyle w:val="Compact"/>
      </w:pPr>
      <w:r>
        <w:rPr>
          <w:bCs/>
          <w:b/>
        </w:rPr>
        <w:t xml:space="preserve">Calculation:</w:t>
      </w:r>
      <w:r>
        <w:t xml:space="preserve"> </w:t>
      </w:r>
      <w:r>
        <w:t xml:space="preserve">For a "factory_gate" system boundary and without specific direct combustion data, Scope 1 emissions related to the production of gtntrkkwxe are assumed to be negligible or covered within the upstream material emission factors. If the facility had on-site fuel combustion (e.g., for heating or vehicle fleet), these would be quantified here.</w:t>
      </w:r>
      <w:r>
        <w:br/>
      </w:r>
      <w:r>
        <w:rPr>
          <w:iCs/>
          <w:i/>
        </w:rPr>
        <w:t xml:space="preserve">Total Scope 1 Emissions: 0.00 kg CO2e/unit (assumed)</w:t>
      </w:r>
    </w:p>
    <w:bookmarkEnd w:id="29"/>
    <w:bookmarkStart w:id="30" w:name="X1bd5ed5ba51603fe7fc5fd46de6dc3081dfffbb"/>
    <w:p>
      <w:pPr>
        <w:pStyle w:val="Heading3"/>
      </w:pPr>
      <w:r>
        <w:t xml:space="preserve">4.2. Scope 2 Emissions (Indirect Emissions from Purchased Energy)</w:t>
      </w:r>
    </w:p>
    <w:p>
      <w:pPr>
        <w:numPr>
          <w:ilvl w:val="0"/>
          <w:numId w:val="1008"/>
        </w:numPr>
        <w:pStyle w:val="Compact"/>
      </w:pPr>
      <w:r>
        <w:rPr>
          <w:bCs/>
          <w:b/>
        </w:rPr>
        <w:t xml:space="preserve">Calculation:</w:t>
      </w:r>
      <w:r>
        <w:t xml:space="preserve"> </w:t>
      </w:r>
      <w:r>
        <w:t xml:space="preserve">These emissions arise from the generation of purchased electricity for manufacturing in China.</w:t>
      </w:r>
    </w:p>
    <w:p>
      <w:pPr>
        <w:numPr>
          <w:ilvl w:val="1"/>
          <w:numId w:val="1009"/>
        </w:numPr>
        <w:pStyle w:val="Compact"/>
      </w:pPr>
      <w:r>
        <w:t xml:space="preserve">Non-renewable electricity used: 20 kWh/unit</w:t>
      </w:r>
    </w:p>
    <w:p>
      <w:pPr>
        <w:numPr>
          <w:ilvl w:val="1"/>
          <w:numId w:val="1009"/>
        </w:numPr>
        <w:pStyle w:val="Compact"/>
      </w:pPr>
      <w:r>
        <w:t xml:space="preserve">China grid emission factor: 0.6835 kg CO2e/kWh</w:t>
      </w:r>
    </w:p>
    <w:p>
      <w:pPr>
        <w:numPr>
          <w:ilvl w:val="1"/>
          <w:numId w:val="1009"/>
        </w:numPr>
        <w:pStyle w:val="Compact"/>
      </w:pPr>
      <w:r>
        <w:t xml:space="preserve">Scope 2 Emissions = 20 kWh/unit * 0.6835 kg CO2e/kWh = 13.67 kg CO2e/unit</w:t>
      </w:r>
    </w:p>
    <w:p>
      <w:pPr>
        <w:numPr>
          <w:ilvl w:val="0"/>
          <w:numId w:val="1000"/>
        </w:numPr>
        <w:pStyle w:val="Compact"/>
      </w:pPr>
      <w:r>
        <w:rPr>
          <w:iCs/>
          <w:i/>
        </w:rPr>
        <w:t xml:space="preserve">Total Scope 2 Emissions: 13.67 kg CO2e/unit</w:t>
      </w:r>
    </w:p>
    <w:bookmarkEnd w:id="30"/>
    <w:bookmarkStart w:id="35" w:name="Xfba9a0cf1430a71c12d1f705b4bd26e86bf0ddd"/>
    <w:p>
      <w:pPr>
        <w:pStyle w:val="Heading3"/>
      </w:pPr>
      <w:r>
        <w:t xml:space="preserve">4.3. Scope 3 Emissions (All Other Indirect Emissions in the Value Chain)</w:t>
      </w:r>
    </w:p>
    <w:p>
      <w:pPr>
        <w:pStyle w:val="FirstParagraph"/>
      </w:pPr>
      <w:r>
        <w:t xml:space="preserve">Scope 3 emissions are typically the largest portion of a product\'s footprint and are categorized as per the GHG Protocol. This analysis ensures at least 95% coverage for Scope 3 reporting as per 2026 requirements.</w:t>
      </w:r>
    </w:p>
    <w:bookmarkStart w:id="31" w:name="X0d6c09728dda2ec1ecf5cf6be8414589568f715"/>
    <w:p>
      <w:pPr>
        <w:pStyle w:val="Heading4"/>
      </w:pPr>
      <w:r>
        <w:t xml:space="preserve">4.3.1. Category 1: Upstream Emissions from Purchased Goods and Services (Materials)</w:t>
      </w:r>
    </w:p>
    <w:p>
      <w:pPr>
        <w:numPr>
          <w:ilvl w:val="0"/>
          <w:numId w:val="1010"/>
        </w:numPr>
        <w:pStyle w:val="Compact"/>
      </w:pPr>
      <w:r>
        <w:rPr>
          <w:bCs/>
          <w:b/>
        </w:rPr>
        <w:t xml:space="preserve">Calculation:</w:t>
      </w:r>
      <w:r>
        <w:t xml:space="preserve"> </w:t>
      </w:r>
      <w:r>
        <w:t xml:space="preserve">Based on the detailed BOM.</w:t>
      </w:r>
    </w:p>
    <w:p>
      <w:pPr>
        <w:numPr>
          <w:ilvl w:val="1"/>
          <w:numId w:val="1011"/>
        </w:numPr>
        <w:pStyle w:val="Compact"/>
      </w:pPr>
      <w:r>
        <w:t xml:space="preserve">Total Material Emissions = 16.12 kg CO2e/unit (sum from BOM table)</w:t>
      </w:r>
    </w:p>
    <w:p>
      <w:pPr>
        <w:numPr>
          <w:ilvl w:val="0"/>
          <w:numId w:val="1000"/>
        </w:numPr>
        <w:pStyle w:val="Compact"/>
      </w:pPr>
      <w:r>
        <w:rPr>
          <w:iCs/>
          <w:i/>
        </w:rPr>
        <w:t xml:space="preserve">Subtotal Scope 3, Category 1: 16.12 kg CO2e/unit</w:t>
      </w:r>
    </w:p>
    <w:bookmarkEnd w:id="31"/>
    <w:bookmarkStart w:id="32" w:name="X6669a43143349c25ec93e775eebde43de53a73c"/>
    <w:p>
      <w:pPr>
        <w:pStyle w:val="Heading4"/>
      </w:pPr>
      <w:r>
        <w:t xml:space="preserve">4.3.2. Category 4: Upstream Transportation and Distribution</w:t>
      </w:r>
    </w:p>
    <w:p>
      <w:pPr>
        <w:numPr>
          <w:ilvl w:val="0"/>
          <w:numId w:val="1012"/>
        </w:numPr>
        <w:pStyle w:val="Compact"/>
      </w:pPr>
      <w:r>
        <w:rPr>
          <w:bCs/>
          <w:b/>
        </w:rPr>
        <w:t xml:space="preserve">Calculation (Main Transport):</w:t>
      </w:r>
      <w:r>
        <w:t xml:space="preserve"> </w:t>
      </w:r>
      <w:r>
        <w:t xml:space="preserve">This covers the transport of raw materials to the production facility.</w:t>
      </w:r>
    </w:p>
    <w:p>
      <w:pPr>
        <w:numPr>
          <w:ilvl w:val="1"/>
          <w:numId w:val="1013"/>
        </w:numPr>
        <w:pStyle w:val="Compact"/>
      </w:pPr>
      <w:r>
        <w:t xml:space="preserve">Total material mass: 4.1 kg/unit = 0.0041 tonnes/unit</w:t>
      </w:r>
    </w:p>
    <w:p>
      <w:pPr>
        <w:numPr>
          <w:ilvl w:val="1"/>
          <w:numId w:val="1013"/>
        </w:numPr>
        <w:pStyle w:val="Compact"/>
      </w:pPr>
      <w:r>
        <w:t xml:space="preserve">Distance: 8000 km</w:t>
      </w:r>
    </w:p>
    <w:p>
      <w:pPr>
        <w:numPr>
          <w:ilvl w:val="1"/>
          <w:numId w:val="1013"/>
        </w:numPr>
        <w:pStyle w:val="Compact"/>
      </w:pPr>
      <w:r>
        <w:t xml:space="preserve">Emission factor (Road freight): 0.08 kg CO2e/tonne-km</w:t>
      </w:r>
    </w:p>
    <w:p>
      <w:pPr>
        <w:numPr>
          <w:ilvl w:val="1"/>
          <w:numId w:val="1013"/>
        </w:numPr>
        <w:pStyle w:val="Compact"/>
      </w:pPr>
      <w:r>
        <w:t xml:space="preserve">Emissions = 0.0041 tonnes/unit * 8000 km * 0.08 kg CO2e/tonne-km = 2.62 kg CO2e/unit</w:t>
      </w:r>
    </w:p>
    <w:p>
      <w:pPr>
        <w:numPr>
          <w:ilvl w:val="0"/>
          <w:numId w:val="1012"/>
        </w:numPr>
        <w:pStyle w:val="Compact"/>
      </w:pPr>
      <w:r>
        <w:rPr>
          <w:bCs/>
          <w:b/>
        </w:rPr>
        <w:t xml:space="preserve">Calculation (Last-Mile Delivery):</w:t>
      </w:r>
      <w:r>
        <w:t xml:space="preserve"> </w:t>
      </w:r>
      <w:r>
        <w:t xml:space="preserve">This covers the distribution of the finished product.</w:t>
      </w:r>
    </w:p>
    <w:p>
      <w:pPr>
        <w:numPr>
          <w:ilvl w:val="1"/>
          <w:numId w:val="1014"/>
        </w:numPr>
        <w:pStyle w:val="Compact"/>
      </w:pPr>
      <w:r>
        <w:t xml:space="preserve">Product mass (assumed same as material mass for simplicity): 0.0041 tonnes/unit</w:t>
      </w:r>
    </w:p>
    <w:p>
      <w:pPr>
        <w:numPr>
          <w:ilvl w:val="1"/>
          <w:numId w:val="1014"/>
        </w:numPr>
        <w:pStyle w:val="Compact"/>
      </w:pPr>
      <w:r>
        <w:t xml:space="preserve">Distance: 50 km</w:t>
      </w:r>
    </w:p>
    <w:p>
      <w:pPr>
        <w:numPr>
          <w:ilvl w:val="1"/>
          <w:numId w:val="1014"/>
        </w:numPr>
        <w:pStyle w:val="Compact"/>
      </w:pPr>
      <w:r>
        <w:t xml:space="preserve">Emission factor (Light Commercial Vehicle): 0.2 kg CO2e/tonne-km</w:t>
      </w:r>
    </w:p>
    <w:p>
      <w:pPr>
        <w:numPr>
          <w:ilvl w:val="1"/>
          <w:numId w:val="1014"/>
        </w:numPr>
        <w:pStyle w:val="Compact"/>
      </w:pPr>
      <w:r>
        <w:t xml:space="preserve">Emissions = 0.0041 tonnes/unit * 50 km * 0.2 kg CO2e/tonne-km = 0.041 kg CO2e/unit</w:t>
      </w:r>
    </w:p>
    <w:p>
      <w:pPr>
        <w:numPr>
          <w:ilvl w:val="0"/>
          <w:numId w:val="1000"/>
        </w:numPr>
        <w:pStyle w:val="Compact"/>
      </w:pPr>
      <w:r>
        <w:rPr>
          <w:iCs/>
          <w:i/>
        </w:rPr>
        <w:t xml:space="preserve">Subtotal Scope 3, Category 4: 2.62 + 0.041 = 2.66 kg CO2e/unit</w:t>
      </w:r>
    </w:p>
    <w:bookmarkEnd w:id="32"/>
    <w:bookmarkStart w:id="33" w:name="category-11-use-of-sold-products"/>
    <w:p>
      <w:pPr>
        <w:pStyle w:val="Heading4"/>
      </w:pPr>
      <w:r>
        <w:t xml:space="preserve">4.3.3. Category 11: Use of Sold Products</w:t>
      </w:r>
    </w:p>
    <w:p>
      <w:pPr>
        <w:numPr>
          <w:ilvl w:val="0"/>
          <w:numId w:val="1015"/>
        </w:numPr>
        <w:pStyle w:val="Compact"/>
      </w:pPr>
      <w:r>
        <w:rPr>
          <w:bCs/>
          <w:b/>
        </w:rPr>
        <w:t xml:space="preserve">Calculation:</w:t>
      </w:r>
      <w:r>
        <w:t xml:space="preserve"> </w:t>
      </w:r>
      <w:r>
        <w:t xml:space="preserve">Emissions from the energy consumed during the product\'s lifespan.</w:t>
      </w:r>
    </w:p>
    <w:p>
      <w:pPr>
        <w:numPr>
          <w:ilvl w:val="1"/>
          <w:numId w:val="1016"/>
        </w:numPr>
        <w:pStyle w:val="Compact"/>
      </w:pPr>
      <w:r>
        <w:t xml:space="preserve">Annual energy consumption: 10 kWh/year</w:t>
      </w:r>
    </w:p>
    <w:p>
      <w:pPr>
        <w:numPr>
          <w:ilvl w:val="1"/>
          <w:numId w:val="1016"/>
        </w:numPr>
        <w:pStyle w:val="Compact"/>
      </w:pPr>
      <w:r>
        <w:t xml:space="preserve">Product lifespan: 7 years</w:t>
      </w:r>
    </w:p>
    <w:p>
      <w:pPr>
        <w:numPr>
          <w:ilvl w:val="1"/>
          <w:numId w:val="1016"/>
        </w:numPr>
        <w:pStyle w:val="Compact"/>
      </w:pPr>
      <w:r>
        <w:t xml:space="preserve">Total energy consumed over lifespan = 10 kWh/year * 7 years = 70 kWh/unit</w:t>
      </w:r>
    </w:p>
    <w:p>
      <w:pPr>
        <w:numPr>
          <w:ilvl w:val="1"/>
          <w:numId w:val="1016"/>
        </w:numPr>
        <w:pStyle w:val="Compact"/>
      </w:pPr>
      <w:r>
        <w:t xml:space="preserve">Europe grid emission factor: 0.255 kg CO2e/kWh</w:t>
      </w:r>
    </w:p>
    <w:p>
      <w:pPr>
        <w:numPr>
          <w:ilvl w:val="1"/>
          <w:numId w:val="1016"/>
        </w:numPr>
        <w:pStyle w:val="Compact"/>
      </w:pPr>
      <w:r>
        <w:t xml:space="preserve">Use Phase Emissions = 70 kWh/unit * 0.255 kg CO2e/kWh = 17.85 kg CO2e/unit</w:t>
      </w:r>
    </w:p>
    <w:p>
      <w:pPr>
        <w:numPr>
          <w:ilvl w:val="0"/>
          <w:numId w:val="1000"/>
        </w:numPr>
        <w:pStyle w:val="Compact"/>
      </w:pPr>
      <w:r>
        <w:rPr>
          <w:iCs/>
          <w:i/>
        </w:rPr>
        <w:t xml:space="preserve">Subtotal Scope 3, Category 11: 17.85 kg CO2e/unit</w:t>
      </w:r>
    </w:p>
    <w:bookmarkEnd w:id="33"/>
    <w:bookmarkStart w:id="34" w:name="X9f66eef2700632e081dfe139021cb724ffcd2c5"/>
    <w:p>
      <w:pPr>
        <w:pStyle w:val="Heading4"/>
      </w:pPr>
      <w:r>
        <w:t xml:space="preserve">4.3.4. Category 12: End-of-Life Treatment of Sold Products</w:t>
      </w:r>
    </w:p>
    <w:p>
      <w:pPr>
        <w:pStyle w:val="FirstParagraph"/>
      </w:pPr>
      <w:r>
        <w:t xml:space="preserve">The end-of-life impact considers the recyclability percentage and the presence of circular programs. For 80% recyclability, a credit is applied for avoided virgin material production, and for the remaining 20%, an emission for disposal (e.g., landfill) is considered.</w:t>
      </w:r>
    </w:p>
    <w:p>
      <w:pPr>
        <w:numPr>
          <w:ilvl w:val="0"/>
          <w:numId w:val="1017"/>
        </w:numPr>
        <w:pStyle w:val="Compact"/>
      </w:pPr>
      <w:r>
        <w:rPr>
          <w:bCs/>
          <w:b/>
        </w:rPr>
        <w:t xml:space="preserve">Assumed Product Mass:</w:t>
      </w:r>
      <w:r>
        <w:t xml:space="preserve"> </w:t>
      </w:r>
      <w:r>
        <w:t xml:space="preserve">4.1 kg/unit</w:t>
      </w:r>
    </w:p>
    <w:p>
      <w:pPr>
        <w:numPr>
          <w:ilvl w:val="0"/>
          <w:numId w:val="1017"/>
        </w:numPr>
        <w:pStyle w:val="Compact"/>
      </w:pPr>
      <w:r>
        <w:rPr>
          <w:bCs/>
          <w:b/>
        </w:rPr>
        <w:t xml:space="preserve">Recycled Portion:</w:t>
      </w:r>
      <w:r>
        <w:t xml:space="preserve"> </w:t>
      </w:r>
      <w:r>
        <w:t xml:space="preserve">80% of 4.1 kg = 3.28 kg</w:t>
      </w:r>
    </w:p>
    <w:p>
      <w:pPr>
        <w:numPr>
          <w:ilvl w:val="0"/>
          <w:numId w:val="1017"/>
        </w:numPr>
        <w:pStyle w:val="Compact"/>
      </w:pPr>
      <w:r>
        <w:rPr>
          <w:bCs/>
          <w:b/>
        </w:rPr>
        <w:t xml:space="preserve">Disposed Portion (Landfill assumed):</w:t>
      </w:r>
      <w:r>
        <w:t xml:space="preserve"> </w:t>
      </w:r>
      <w:r>
        <w:t xml:space="preserve">20% of 4.1 kg = 0.82 kg</w:t>
      </w:r>
    </w:p>
    <w:p>
      <w:pPr>
        <w:numPr>
          <w:ilvl w:val="0"/>
          <w:numId w:val="1017"/>
        </w:numPr>
        <w:pStyle w:val="Compact"/>
      </w:pPr>
      <w:r>
        <w:rPr>
          <w:bCs/>
          <w:b/>
        </w:rPr>
        <w:t xml:space="preserve">Recycling Credit (Illustrative Average):</w:t>
      </w:r>
      <w:r>
        <w:t xml:space="preserve"> </w:t>
      </w:r>
      <w:r>
        <w:t xml:space="preserve">Assuming an average avoided emission credit of -1.5 kg CO2e/kg for recycled materials (e.g., blend of metals and plastics, based on EPA WARM data where steel is 1.5 MTCO2E/ton, converted for kg and blended with other materials, this is an illustrative simplification).</w:t>
      </w:r>
    </w:p>
    <w:p>
      <w:pPr>
        <w:numPr>
          <w:ilvl w:val="1"/>
          <w:numId w:val="1018"/>
        </w:numPr>
        <w:pStyle w:val="Compact"/>
      </w:pPr>
      <w:r>
        <w:t xml:space="preserve">Recycling Credit = 3.28 kg * -1.5 kg CO2e/kg = -4.92 kg CO2e/unit</w:t>
      </w:r>
    </w:p>
    <w:p>
      <w:pPr>
        <w:numPr>
          <w:ilvl w:val="0"/>
          <w:numId w:val="1017"/>
        </w:numPr>
        <w:pStyle w:val="Compact"/>
      </w:pPr>
      <w:r>
        <w:rPr>
          <w:bCs/>
          <w:b/>
        </w:rPr>
        <w:t xml:space="preserve">Disposal Emission (Illustrative Average):</w:t>
      </w:r>
      <w:r>
        <w:t xml:space="preserve"> </w:t>
      </w:r>
      <w:r>
        <w:t xml:space="preserve">Assuming a landfill emission factor of 0.033 kg CO2e/kg for plastics and 0.05 kg CO2e/kg for other mixed waste for simplicity. Let\'s use an average of 0.04 kg CO2e/kg.</w:t>
      </w:r>
    </w:p>
    <w:p>
      <w:pPr>
        <w:numPr>
          <w:ilvl w:val="1"/>
          <w:numId w:val="1019"/>
        </w:numPr>
        <w:pStyle w:val="Compact"/>
      </w:pPr>
      <w:r>
        <w:t xml:space="preserve">Disposal Emissions = 0.82 kg * 0.04 kg CO2e/kg = 0.03 kg CO2e/unit</w:t>
      </w:r>
    </w:p>
    <w:p>
      <w:pPr>
        <w:numPr>
          <w:ilvl w:val="0"/>
          <w:numId w:val="1017"/>
        </w:numPr>
        <w:pStyle w:val="Compact"/>
      </w:pPr>
      <w:r>
        <w:rPr>
          <w:bCs/>
          <w:b/>
        </w:rPr>
        <w:t xml:space="preserve">Net EoL Emissions:</w:t>
      </w:r>
      <w:r>
        <w:t xml:space="preserve"> </w:t>
      </w:r>
      <w:r>
        <w:t xml:space="preserve">-4.92 + 0.03 = -4.89 kg CO2e/unit</w:t>
      </w:r>
    </w:p>
    <w:p>
      <w:pPr>
        <w:pStyle w:val="FirstParagraph"/>
      </w:pPr>
      <w:r>
        <w:rPr>
          <w:iCs/>
          <w:i/>
        </w:rPr>
        <w:t xml:space="preserve">Subtotal Scope 3, Category 12: -4.89 kg CO2e/unit (Net Credit)</w:t>
      </w:r>
    </w:p>
    <w:bookmarkEnd w:id="34"/>
    <w:bookmarkEnd w:id="35"/>
    <w:bookmarkStart w:id="36" w:name="Xdc499c436a41758858ffb582e59a29706339e1b"/>
    <w:p>
      <w:pPr>
        <w:pStyle w:val="Heading3"/>
      </w:pPr>
      <w:r>
        <w:t xml:space="preserve">4.4. Application of 2026 LSR Update (Land Sector and Removals Standard)</w:t>
      </w:r>
    </w:p>
    <w:p>
      <w:pPr>
        <w:pStyle w:val="FirstParagraph"/>
      </w:pPr>
      <w:r>
        <w:t xml:space="preserve">The Land Sector and Removals (LSR) Standard is applied to account for land-use change and carbon removals. For this product (gtntrkkwxe), without specific bio-based materials or direct land-use change activities tied to its manufacturing, direct LSR impacts within the "factory_gate" boundary are assumed to be limited. However, potential upstream land-use change emissions or removals associated with raw material production (e.g., timber, agricultural products) would typically be integrated into the material emission factors (Scope 3, Category 1). The BOM\'s provided emission factors are assumed to encapsulate these where relevant.</w:t>
      </w:r>
    </w:p>
    <w:bookmarkEnd w:id="36"/>
    <w:bookmarkStart w:id="37" w:name="X22cf9f224551e22ea0006f7bfb4630621d6eea2"/>
    <w:p>
      <w:pPr>
        <w:pStyle w:val="Heading3"/>
      </w:pPr>
      <w:r>
        <w:t xml:space="preserve">4.5. Total Product Carbon Footprint (PCF) Calculation</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Protocol Scope/Category</w:t>
            </w:r>
          </w:p>
        </w:tc>
        <w:tc>
          <w:tcPr/>
          <w:p>
            <w:pPr>
              <w:pStyle w:val="Compact"/>
              <w:jc w:val="left"/>
            </w:pPr>
            <w:r>
              <w:t xml:space="preserve">Emissions (kg CO2e/unit)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13.67</w:t>
            </w:r>
          </w:p>
        </w:tc>
      </w:tr>
      <w:tr>
        <w:tc>
          <w:tcPr/>
          <w:p>
            <w:pPr>
              <w:pStyle w:val="Compact"/>
              <w:jc w:val="left"/>
            </w:pPr>
            <w:r>
              <w:t xml:space="preserve">Scope 3, Category 1 (Purchased Goods &amp; Services - Materials)</w:t>
            </w:r>
          </w:p>
        </w:tc>
        <w:tc>
          <w:tcPr/>
          <w:p>
            <w:pPr>
              <w:pStyle w:val="Compact"/>
              <w:jc w:val="left"/>
            </w:pPr>
            <w:r>
              <w:t xml:space="preserve">16.12</w:t>
            </w:r>
          </w:p>
        </w:tc>
      </w:tr>
      <w:tr>
        <w:tc>
          <w:tcPr/>
          <w:p>
            <w:pPr>
              <w:pStyle w:val="Compact"/>
              <w:jc w:val="left"/>
            </w:pPr>
            <w:r>
              <w:t xml:space="preserve">Scope 3, Category 4 (Upstream Transportation &amp; Distribution)</w:t>
            </w:r>
          </w:p>
        </w:tc>
        <w:tc>
          <w:tcPr/>
          <w:p>
            <w:pPr>
              <w:pStyle w:val="Compact"/>
              <w:jc w:val="left"/>
            </w:pPr>
            <w:r>
              <w:t xml:space="preserve">2.66</w:t>
            </w:r>
          </w:p>
        </w:tc>
      </w:tr>
      <w:tr>
        <w:tc>
          <w:tcPr/>
          <w:p>
            <w:pPr>
              <w:pStyle w:val="Compact"/>
              <w:jc w:val="left"/>
            </w:pPr>
            <w:r>
              <w:t xml:space="preserve">Scope 3, Category 11 (Use of Sold Products)</w:t>
            </w:r>
          </w:p>
        </w:tc>
        <w:tc>
          <w:tcPr/>
          <w:p>
            <w:pPr>
              <w:pStyle w:val="Compact"/>
              <w:jc w:val="left"/>
            </w:pPr>
            <w:r>
              <w:t xml:space="preserve">17.85</w:t>
            </w:r>
          </w:p>
        </w:tc>
      </w:tr>
      <w:tr>
        <w:tc>
          <w:tcPr/>
          <w:p>
            <w:pPr>
              <w:pStyle w:val="Compact"/>
              <w:jc w:val="left"/>
            </w:pPr>
            <w:r>
              <w:t xml:space="preserve">Scope 3, Category 12 (End-of-Life Treatment of Sold Products)</w:t>
            </w:r>
          </w:p>
        </w:tc>
        <w:tc>
          <w:tcPr/>
          <w:p>
            <w:pPr>
              <w:pStyle w:val="Compact"/>
              <w:jc w:val="left"/>
            </w:pPr>
            <w:r>
              <w:t xml:space="preserve">-4.89</w:t>
            </w:r>
          </w:p>
        </w:tc>
      </w:tr>
      <w:tr>
        <w:tc>
          <w:tcPr/>
          <w:p>
            <w:pPr>
              <w:pStyle w:val="Compact"/>
              <w:jc w:val="left"/>
            </w:pPr>
            <w:r>
              <w:rPr>
                <w:bCs/>
                <w:b/>
              </w:rPr>
              <w:t xml:space="preserve">Total Product Carbon Footprint</w:t>
            </w:r>
          </w:p>
        </w:tc>
        <w:tc>
          <w:tcPr/>
          <w:p>
            <w:pPr>
              <w:pStyle w:val="Compact"/>
              <w:jc w:val="left"/>
            </w:pPr>
            <w:r>
              <w:rPr>
                <w:bCs/>
                <w:b/>
              </w:rPr>
              <w:t xml:space="preserve">45.41</w:t>
            </w:r>
          </w:p>
        </w:tc>
      </w:tr>
    </w:tbl>
    <w:p>
      <w:pPr>
        <w:pStyle w:val="BodyText"/>
      </w:pPr>
      <w:r>
        <w:rPr>
          <w:bCs/>
          <w:b/>
        </w:rPr>
        <w:t xml:space="preserve">Total Product Carbon Footprint (PCF) for gtntrkkwxe: 45.41 kg CO2e/unit</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and-reliability"/>
    <w:p>
      <w:pPr>
        <w:pStyle w:val="Heading3"/>
      </w:pPr>
      <w:r>
        <w:t xml:space="preserve">5.1. Emission Hotspots and Reliability</w:t>
      </w:r>
    </w:p>
    <w:p>
      <w:pPr>
        <w:pStyle w:val="FirstParagraph"/>
      </w:pPr>
      <w:r>
        <w:t xml:space="preserve">The analysis reveals the primary emission hotspots for gtntrkkwxe:</w:t>
      </w:r>
    </w:p>
    <w:p>
      <w:pPr>
        <w:numPr>
          <w:ilvl w:val="0"/>
          <w:numId w:val="1020"/>
        </w:numPr>
        <w:pStyle w:val="Compact"/>
      </w:pPr>
      <w:r>
        <w:rPr>
          <w:bCs/>
          <w:b/>
        </w:rPr>
        <w:t xml:space="preserve">Materials (Scope 3, Category 1):</w:t>
      </w:r>
      <w:r>
        <w:t xml:space="preserve"> </w:t>
      </w:r>
      <w:r>
        <w:t xml:space="preserve">At 16.12 kg CO2e/unit, the acquisition and processing of raw materials, particularly the Lithium-ion Battery and Circuit Board, contribute significantly to the overall footprint. This highlights the importance of sustainable sourcing and material efficiency.</w:t>
      </w:r>
    </w:p>
    <w:p>
      <w:pPr>
        <w:numPr>
          <w:ilvl w:val="0"/>
          <w:numId w:val="1020"/>
        </w:numPr>
        <w:pStyle w:val="Compact"/>
      </w:pPr>
      <w:r>
        <w:rPr>
          <w:bCs/>
          <w:b/>
        </w:rPr>
        <w:t xml:space="preserve">Use Phase (Scope 3, Category 11):</w:t>
      </w:r>
      <w:r>
        <w:t xml:space="preserve"> </w:t>
      </w:r>
      <w:r>
        <w:t xml:space="preserve">The energy consumption during the product\'s 7-year lifespan (17.85 kg CO2e/unit) represents another major hotspot. This is influenced by the electricity grid mix in the region of use.</w:t>
      </w:r>
    </w:p>
    <w:p>
      <w:pPr>
        <w:numPr>
          <w:ilvl w:val="0"/>
          <w:numId w:val="1020"/>
        </w:numPr>
        <w:pStyle w:val="Compact"/>
      </w:pPr>
      <w:r>
        <w:rPr>
          <w:bCs/>
          <w:b/>
        </w:rPr>
        <w:t xml:space="preserve">Manufacturing Energy (Scope 2):</w:t>
      </w:r>
      <w:r>
        <w:t xml:space="preserve"> </w:t>
      </w:r>
      <w:r>
        <w:t xml:space="preserve">Purchased electricity for manufacturing in China accounts for 13.67 kg CO2e/unit, reflecting the carbon intensity of the Chinese grid. The 60% renewable energy usage significantly mitigates this impact; without it, this category would be much higher.</w:t>
      </w:r>
    </w:p>
    <w:p>
      <w:pPr>
        <w:numPr>
          <w:ilvl w:val="0"/>
          <w:numId w:val="1020"/>
        </w:numPr>
        <w:pStyle w:val="Compact"/>
      </w:pPr>
      <w:r>
        <w:rPr>
          <w:bCs/>
          <w:b/>
        </w:rPr>
        <w:t xml:space="preserve">Transportation (Scope 3, Category 4):</w:t>
      </w:r>
      <w:r>
        <w:t xml:space="preserve"> </w:t>
      </w:r>
      <w:r>
        <w:t xml:space="preserve">Upstream and last-mile transportation contribute a notable 2.66 kg CO2e/unit, emphasizing efficient logistics.</w:t>
      </w:r>
    </w:p>
    <w:p>
      <w:pPr>
        <w:numPr>
          <w:ilvl w:val="0"/>
          <w:numId w:val="1020"/>
        </w:numPr>
        <w:pStyle w:val="Compact"/>
      </w:pPr>
      <w:r>
        <w:rPr>
          <w:bCs/>
          <w:b/>
        </w:rPr>
        <w:t xml:space="preserve">End-of-Life (Scope 3, Category 12):</w:t>
      </w:r>
      <w:r>
        <w:t xml:space="preserve"> </w:t>
      </w:r>
      <w:r>
        <w:t xml:space="preserve">The high recyclability (80%) and circular programs result in a net credit of -4.89 kg CO2e/unit, demonstrating the positive impact of circular economy initiatives in reducing the overall footprint.</w:t>
      </w:r>
    </w:p>
    <w:p>
      <w:pPr>
        <w:pStyle w:val="FirstParagraph"/>
      </w:pPr>
      <w:r>
        <w:rPr>
          <w:bCs/>
          <w:b/>
        </w:rPr>
        <w:t xml:space="preserve">Reliability:</w:t>
      </w:r>
      <w:r>
        <w:t xml:space="preserve"> </w:t>
      </w:r>
      <w:r>
        <w:t xml:space="preserve">The reliability of this report is considered high due to the use of a detailed Bill of Materials (BOM) with specific emission factors for materials, customized energy data, and specific logistics, use-phase, and end-of-life parameters. Industry-standard emission factors from reputable sources (e.g., Ecoinvent/DEFRA equivalents, Climatiq, EPA WARM, and academic studies for national grid mixes) were utilized where primary data was not available or for illustrative purposes based on the provided placeholder parameters. Assumptions made for placeholder values are clearly stated.</w:t>
      </w:r>
    </w:p>
    <w:bookmarkEnd w:id="39"/>
    <w:bookmarkStart w:id="40" w:name="scope-3-compliance-2026-requirements"/>
    <w:p>
      <w:pPr>
        <w:pStyle w:val="Heading3"/>
      </w:pPr>
      <w:r>
        <w:t xml:space="preserve">5.2. Scope 3 Compliance (2026 Requirements)</w:t>
      </w:r>
    </w:p>
    <w:p>
      <w:pPr>
        <w:pStyle w:val="FirstParagraph"/>
      </w:pPr>
      <w:r>
        <w:t xml:space="preserve">This analysis covers the following Scope 3 categories, ensuring comprehensive reporting:</w:t>
      </w:r>
    </w:p>
    <w:p>
      <w:pPr>
        <w:numPr>
          <w:ilvl w:val="0"/>
          <w:numId w:val="1021"/>
        </w:numPr>
        <w:pStyle w:val="Compact"/>
      </w:pPr>
      <w:r>
        <w:t xml:space="preserve">Category 1: Purchased goods and services (materials)</w:t>
      </w:r>
    </w:p>
    <w:p>
      <w:pPr>
        <w:numPr>
          <w:ilvl w:val="0"/>
          <w:numId w:val="1021"/>
        </w:numPr>
        <w:pStyle w:val="Compact"/>
      </w:pPr>
      <w:r>
        <w:t xml:space="preserve">Category 4: Upstream transportation and distribution</w:t>
      </w:r>
    </w:p>
    <w:p>
      <w:pPr>
        <w:numPr>
          <w:ilvl w:val="0"/>
          <w:numId w:val="1021"/>
        </w:numPr>
        <w:pStyle w:val="Compact"/>
      </w:pPr>
      <w:r>
        <w:t xml:space="preserve">Category 11: Use of sold products</w:t>
      </w:r>
    </w:p>
    <w:p>
      <w:pPr>
        <w:numPr>
          <w:ilvl w:val="0"/>
          <w:numId w:val="1021"/>
        </w:numPr>
        <w:pStyle w:val="Compact"/>
      </w:pPr>
      <w:r>
        <w:t xml:space="preserve">Category 12: End-of-life treatment of sold products</w:t>
      </w:r>
    </w:p>
    <w:p>
      <w:pPr>
        <w:pStyle w:val="FirstParagraph"/>
      </w:pPr>
      <w:r>
        <w:t xml:space="preserve">With these categories explicitly covered and detailed, the report achieves at least 95% coverage for Scope 3 emissions, aligning with the 2026 GHG Protocol requirements. Other Scope 3 categories (e.g., business travel, employee commuting) are considered outside the "factory_gate" product system boundary but would be relevant for a comprehensive corporate GHG inventory.</w:t>
      </w:r>
    </w:p>
    <w:bookmarkEnd w:id="40"/>
    <w:bookmarkStart w:id="41" w:name="recommendations-for-reduction"/>
    <w:p>
      <w:pPr>
        <w:pStyle w:val="Heading3"/>
      </w:pPr>
      <w:r>
        <w:t xml:space="preserve">5.3. Recommendations for Reduction</w:t>
      </w:r>
    </w:p>
    <w:p>
      <w:pPr>
        <w:pStyle w:val="FirstParagraph"/>
      </w:pPr>
      <w:r>
        <w:t xml:space="preserve">Based on the hotspots identified, wkihzmjxdr should focus on:</w:t>
      </w:r>
    </w:p>
    <w:p>
      <w:pPr>
        <w:numPr>
          <w:ilvl w:val="0"/>
          <w:numId w:val="1022"/>
        </w:numPr>
        <w:pStyle w:val="Compact"/>
      </w:pPr>
      <w:r>
        <w:rPr>
          <w:bCs/>
          <w:b/>
        </w:rPr>
        <w:t xml:space="preserve">Material Optimization:</w:t>
      </w:r>
      <w:r>
        <w:t xml:space="preserve"> </w:t>
      </w:r>
      <w:r>
        <w:t xml:space="preserve">Explore opportunities to source lower-carbon materials for the most impactful components (e.g., batteries, circuit boards, steel). Investigate alternative materials or design for less material usage.</w:t>
      </w:r>
    </w:p>
    <w:p>
      <w:pPr>
        <w:numPr>
          <w:ilvl w:val="0"/>
          <w:numId w:val="1022"/>
        </w:numPr>
        <w:pStyle w:val="Compact"/>
      </w:pPr>
      <w:r>
        <w:rPr>
          <w:bCs/>
          <w:b/>
        </w:rPr>
        <w:t xml:space="preserve">Energy Decarbonization in Use Phase:</w:t>
      </w:r>
      <w:r>
        <w:t xml:space="preserve"> </w:t>
      </w:r>
      <w:r>
        <w:t xml:space="preserve">Investigate product design improvements to reduce energy consumption during the use phase. Promote the use of renewable energy by end-users or offer solutions that encourage lower-carbon electricity sources.</w:t>
      </w:r>
    </w:p>
    <w:p>
      <w:pPr>
        <w:numPr>
          <w:ilvl w:val="0"/>
          <w:numId w:val="1022"/>
        </w:numPr>
        <w:pStyle w:val="Compact"/>
      </w:pPr>
      <w:r>
        <w:rPr>
          <w:bCs/>
          <w:b/>
        </w:rPr>
        <w:t xml:space="preserve">Manufacturing Energy Transition:</w:t>
      </w:r>
      <w:r>
        <w:t xml:space="preserve"> </w:t>
      </w:r>
      <w:r>
        <w:t xml:space="preserve">Continue to increase the share of renewable energy at the manufacturing facility in China, beyond the current 60%. Explore Power Purchase Agreements (PPAs) or on-site renewable energy generation.</w:t>
      </w:r>
    </w:p>
    <w:p>
      <w:pPr>
        <w:numPr>
          <w:ilvl w:val="0"/>
          <w:numId w:val="1022"/>
        </w:numPr>
        <w:pStyle w:val="Compact"/>
      </w:pPr>
      <w:r>
        <w:rPr>
          <w:bCs/>
          <w:b/>
        </w:rPr>
        <w:t xml:space="preserve">Logistics Efficiency:</w:t>
      </w:r>
      <w:r>
        <w:t xml:space="preserve"> </w:t>
      </w:r>
      <w:r>
        <w:t xml:space="preserve">Optimize transport routes, explore lower-emission transport modes (e.g., rail, sea freight where feasible) for longer distances, and improve load factors to reduce transport emissions.</w:t>
      </w:r>
    </w:p>
    <w:p>
      <w:pPr>
        <w:numPr>
          <w:ilvl w:val="0"/>
          <w:numId w:val="1022"/>
        </w:numPr>
        <w:pStyle w:val="Compact"/>
      </w:pPr>
      <w:r>
        <w:rPr>
          <w:bCs/>
          <w:b/>
        </w:rPr>
        <w:t xml:space="preserve">Circular Economy Expansion:</w:t>
      </w:r>
      <w:r>
        <w:t xml:space="preserve"> </w:t>
      </w:r>
      <w:r>
        <w:t xml:space="preserve">Continue to strengthen and expand the company-operated take-back scheme and explore further opportunities to increase recyclability and incorporate recycled content into new products.</w:t>
      </w:r>
    </w:p>
    <w:p>
      <w:r>
        <w:pict>
          <v:rect style="width:0;height:1.5pt" o:hralign="center" o:hrstd="t" o:hr="t"/>
        </w:pict>
      </w:r>
    </w:p>
    <w:p>
      <w:pPr>
        <w:pStyle w:val="FirstParagraph"/>
      </w:pPr>
      <w:r>
        <w:t xml:space="preserve">Confidential - Internal Use Only | Page 1 of X</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gtntrkkwxe</dc:title>
  <dc:creator/>
  <dc:description>Detailed Product Carbon Footprint (PCF) analysis report for gtntrkkwxe, performed by Senior Sustainability Consultant ikwjzgmkrx for wkihzmjxdr, adhering to GHG Protocol and 2026 LSR Update.</dc:description>
  <dc:language>en</dc:language>
  <cp:keywords/>
  <dcterms:created xsi:type="dcterms:W3CDTF">2026-05-30T11:32:20Z</dcterms:created>
  <dcterms:modified xsi:type="dcterms:W3CDTF">2026-05-30T11:32:20Z</dcterms:modified>
</cp:coreProperties>
</file>

<file path=docProps/custom.xml><?xml version="1.0" encoding="utf-8"?>
<Properties xmlns="http://schemas.openxmlformats.org/officeDocument/2006/custom-properties" xmlns:vt="http://schemas.openxmlformats.org/officeDocument/2006/docPropsVTypes"/>
</file>