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gsvegtqidh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gsvegtqidh</w:t>
      </w:r>
    </w:p>
    <w:p>
      <w:pPr>
        <w:pStyle w:val="BodyText"/>
      </w:pPr>
      <w:r>
        <w:rPr>
          <w:bCs/>
          <w:b/>
        </w:rPr>
        <w:t xml:space="preserve">Company:</w:t>
      </w:r>
      <w:r>
        <w:t xml:space="preserve"> </w:t>
      </w:r>
      <w:r>
        <w:t xml:space="preserve">qpyjyoskqx</w:t>
      </w:r>
    </w:p>
    <w:p>
      <w:pPr>
        <w:pStyle w:val="BodyText"/>
      </w:pPr>
      <w:r>
        <w:rPr>
          <w:bCs/>
          <w:b/>
        </w:rPr>
        <w:t xml:space="preserve">Senior Sustainability Consultant:</w:t>
      </w:r>
      <w:r>
        <w:t xml:space="preserve"> </w:t>
      </w:r>
      <w:r>
        <w:t xml:space="preserve">xkdjdunwom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specified parameters.</w:t>
      </w:r>
      <w:r>
        <w:t xml:space="preserve"> </w:t>
      </w:r>
      <w:r>
        <w:t xml:space="preserve">Assumptions have been made where specific data was not provided, and these are outlined within the report.</w:t>
      </w:r>
      <w:r>
        <w:t xml:space="preserve"> </w:t>
      </w:r>
      <w:r>
        <w:t xml:space="preserve">This analysis provides a high-level overview and should be supplemented with more granular, primary data for enhanced accuracy.</w:t>
      </w:r>
    </w:p>
    <w:bookmarkEnd w:id="20"/>
    <w:bookmarkStart w:id="21" w:name="Xa87d010c1fd868336511b306fbd202996615f12"/>
    <w:p>
      <w:pPr>
        <w:pStyle w:val="Heading1"/>
      </w:pPr>
      <w:r>
        <w:t xml:space="preserve">Product Carbon Footprint Analysis Report</w:t>
      </w:r>
    </w:p>
    <w:p>
      <w:pPr>
        <w:pStyle w:val="FirstParagraph"/>
      </w:pPr>
      <w:r>
        <w:t xml:space="preserve">Generated Date: Friday, May 22,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gsvegtqidh</w:t>
      </w:r>
      <w:r>
        <w:t xml:space="preserve">, manufactured by</w:t>
      </w:r>
      <w:r>
        <w:t xml:space="preserve"> </w:t>
      </w:r>
      <w:r>
        <w:rPr>
          <w:bCs/>
          <w:b/>
        </w:rPr>
        <w:t xml:space="preserve">qpyjyoskqx</w:t>
      </w:r>
      <w:r>
        <w:t xml:space="preserve">.</w:t>
      </w:r>
      <w:r>
        <w:t xml:space="preserve"> </w:t>
      </w:r>
      <w:r>
        <w:t xml:space="preserve">The analysis was conducted by</w:t>
      </w:r>
      <w:r>
        <w:t xml:space="preserve"> </w:t>
      </w:r>
      <w:r>
        <w:rPr>
          <w:bCs/>
          <w:b/>
        </w:rPr>
        <w:t xml:space="preserve">xkdjdunwom</w:t>
      </w:r>
      <w:r>
        <w:t xml:space="preserve">, Senior Sustainability Consultant, adhering to the Greenhouse Gas (GHG) Protocol accounting standard.</w:t>
      </w:r>
      <w:r>
        <w:t xml:space="preserve"> </w:t>
      </w:r>
      <w:r>
        <w:t xml:space="preserve">The system boundary for this assessment is interpreted as "Cradle-to-Grave" to ensure comprehensive Scope 3 coverage, encompassing raw material acquisition, manufacturing, transport, use phase, and end-of-life.</w:t>
      </w:r>
      <w:r>
        <w:t xml:space="preserve"> </w:t>
      </w:r>
      <w:r>
        <w:t xml:space="preserve">The total Product Carbon Footprint for one functional unit of gsvegtqidh is estimated to be</w:t>
      </w:r>
      <w:r>
        <w:t xml:space="preserve"> </w:t>
      </w:r>
      <w:r>
        <w:rPr>
          <w:bCs/>
          <w:b/>
        </w:rPr>
        <w:t xml:space="preserve">22.73 kg CO2e</w:t>
      </w:r>
      <w:r>
        <w:t xml:space="preserve">. The use phase and manufacturing energy are identified as significant hotspots.</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for</w:t>
      </w:r>
      <w:r>
        <w:t xml:space="preserve"> </w:t>
      </w:r>
      <w:r>
        <w:rPr>
          <w:bCs/>
          <w:b/>
        </w:rPr>
        <w:t xml:space="preserve">gsvegtqidh</w:t>
      </w:r>
      <w:r>
        <w:t xml:space="preserve"> </w:t>
      </w:r>
      <w:r>
        <w:t xml:space="preserve">follows the five-step approach mandated by the GHG Protocol, ensuring a robust and transparent assessment of greenhouse gas emissions across the product\'s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gsvegtqidh.</w:t>
      </w:r>
    </w:p>
    <w:p>
      <w:pPr>
        <w:numPr>
          <w:ilvl w:val="0"/>
          <w:numId w:val="1001"/>
        </w:numPr>
        <w:pStyle w:val="Compact"/>
      </w:pPr>
      <w:r>
        <w:rPr>
          <w:bCs/>
          <w:b/>
        </w:rPr>
        <w:t xml:space="preserve">System Boundary:</w:t>
      </w:r>
      <w:r>
        <w:t xml:space="preserve"> </w:t>
      </w:r>
      <w:r>
        <w:t xml:space="preserve">Interpreted as "Cradle-to-Grave" to encompass all specified life cycle stages. While the parameter specifies \'factory_gate\' for the core production, the requirements to include transport, use phase, and end-of-life necessitate a broader boundary to achieve comprehensive Scope 3 reporting and align with 2026 requirements.</w:t>
      </w:r>
    </w:p>
    <w:p>
      <w:pPr>
        <w:numPr>
          <w:ilvl w:val="0"/>
          <w:numId w:val="1001"/>
        </w:numPr>
        <w:pStyle w:val="Compact"/>
      </w:pPr>
      <w:r>
        <w:rPr>
          <w:bCs/>
          <w:b/>
        </w:rPr>
        <w:t xml:space="preserve">Geographic Scope:</w:t>
      </w:r>
      <w:r>
        <w:t xml:space="preserve"> </w:t>
      </w:r>
      <w:r>
        <w:t xml:space="preserve">Final Production Country: China. Supply Chain Focus: Europe Focused. Consumer Use Phase and End-of-Life assumed to primarily occur within Europe.</w:t>
      </w:r>
    </w:p>
    <w:p>
      <w:pPr>
        <w:numPr>
          <w:ilvl w:val="0"/>
          <w:numId w:val="1001"/>
        </w:numPr>
        <w:pStyle w:val="Compact"/>
      </w:pPr>
      <w:r>
        <w:rPr>
          <w:bCs/>
          <w:b/>
        </w:rPr>
        <w:t xml:space="preserve">Allocation:</w:t>
      </w:r>
      <w:r>
        <w:t xml:space="preserve"> </w:t>
      </w:r>
      <w:r>
        <w:t xml:space="preserve">Mass-based allocation is applied where co-production or multi-functional processes occur. For end-of-life, the avoided burden approach is utilized for recycled materials.</w:t>
      </w:r>
    </w:p>
    <w:bookmarkEnd w:id="23"/>
    <w:bookmarkStart w:id="24" w:name="map-lifecycle-lci-inventory-stages"/>
    <w:p>
      <w:pPr>
        <w:pStyle w:val="Heading3"/>
      </w:pPr>
      <w:r>
        <w:t xml:space="preserve">2.2. Map Lifecycle (LCI Inventory Stages)</w:t>
      </w:r>
    </w:p>
    <w:p>
      <w:pPr>
        <w:pStyle w:val="FirstParagraph"/>
      </w:pPr>
      <w:r>
        <w:t xml:space="preserve">The lifecycle of gsvegtqidh is mapped into the following stages:</w:t>
      </w:r>
    </w:p>
    <w:p>
      <w:pPr>
        <w:numPr>
          <w:ilvl w:val="0"/>
          <w:numId w:val="1002"/>
        </w:numPr>
        <w:pStyle w:val="Compact"/>
      </w:pPr>
      <w:r>
        <w:rPr>
          <w:bCs/>
          <w:b/>
        </w:rPr>
        <w:t xml:space="preserve">Material Acquisition &amp; Pre-processing (Upstream):</w:t>
      </w:r>
      <w:r>
        <w:t xml:space="preserve"> </w:t>
      </w:r>
      <w:r>
        <w:t xml:space="preserve">Extraction, processing, and refining of raw materials (e.g., metals, plastics, electronics).</w:t>
      </w:r>
    </w:p>
    <w:p>
      <w:pPr>
        <w:numPr>
          <w:ilvl w:val="0"/>
          <w:numId w:val="1002"/>
        </w:numPr>
        <w:pStyle w:val="Compact"/>
      </w:pPr>
      <w:r>
        <w:rPr>
          <w:bCs/>
          <w:b/>
        </w:rPr>
        <w:t xml:space="preserve">Manufacturing (Core Production):</w:t>
      </w:r>
      <w:r>
        <w:t xml:space="preserve"> </w:t>
      </w:r>
      <w:r>
        <w:t xml:space="preserve">Assembly and production processes in the factory, including associated energy consumption.</w:t>
      </w:r>
    </w:p>
    <w:p>
      <w:pPr>
        <w:numPr>
          <w:ilvl w:val="0"/>
          <w:numId w:val="1002"/>
        </w:numPr>
        <w:pStyle w:val="Compact"/>
      </w:pPr>
      <w:r>
        <w:rPr>
          <w:bCs/>
          <w:b/>
        </w:rPr>
        <w:t xml:space="preserve">Transportation (Upstream &amp; Downstream):</w:t>
      </w:r>
    </w:p>
    <w:p>
      <w:pPr>
        <w:numPr>
          <w:ilvl w:val="1"/>
          <w:numId w:val="1003"/>
        </w:numPr>
        <w:pStyle w:val="Compact"/>
      </w:pPr>
      <w:r>
        <w:t xml:space="preserve">Upstream: Transport of raw materials/components from suppliers (Europe) to the manufacturing plant (China).</w:t>
      </w:r>
    </w:p>
    <w:p>
      <w:pPr>
        <w:numPr>
          <w:ilvl w:val="1"/>
          <w:numId w:val="1003"/>
        </w:numPr>
        <w:pStyle w:val="Compact"/>
      </w:pPr>
      <w:r>
        <w:t xml:space="preserve">Downstream: Transport of the finished product from the manufacturing plant (China) to the distribution centers/customers (Europe), including last-mile delivery.</w:t>
      </w:r>
    </w:p>
    <w:p>
      <w:pPr>
        <w:numPr>
          <w:ilvl w:val="0"/>
          <w:numId w:val="1002"/>
        </w:numPr>
        <w:pStyle w:val="Compact"/>
      </w:pPr>
      <w:r>
        <w:rPr>
          <w:bCs/>
          <w:b/>
        </w:rPr>
        <w:t xml:space="preserve">Use Phase (Downstream):</w:t>
      </w:r>
      <w:r>
        <w:t xml:space="preserve"> </w:t>
      </w:r>
      <w:r>
        <w:t xml:space="preserve">Energy consumption and other impacts during the product\'s operational lifetime by the end-user.</w:t>
      </w:r>
    </w:p>
    <w:p>
      <w:pPr>
        <w:numPr>
          <w:ilvl w:val="0"/>
          <w:numId w:val="1002"/>
        </w:numPr>
        <w:pStyle w:val="Compact"/>
      </w:pPr>
      <w:r>
        <w:rPr>
          <w:bCs/>
          <w:b/>
        </w:rPr>
        <w:t xml:space="preserve">End-of-Life (Downstream):</w:t>
      </w:r>
      <w:r>
        <w:t xml:space="preserve"> </w:t>
      </w:r>
      <w:r>
        <w:t xml:space="preserve">Collection, sorting, recycling, and disposal of the product after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Data was collected and utilized as per the provided parameters:</w:t>
      </w:r>
    </w:p>
    <w:p>
      <w:pPr>
        <w:numPr>
          <w:ilvl w:val="0"/>
          <w:numId w:val="1004"/>
        </w:numPr>
        <w:pStyle w:val="Compact"/>
      </w:pPr>
      <w:r>
        <w:rPr>
          <w:bCs/>
          <w:b/>
        </w:rPr>
        <w:t xml:space="preserve">Detailed Bill of Materials (BOM):</w:t>
      </w:r>
      <w:r>
        <w:t xml:space="preserve"> </w:t>
      </w:r>
      <w:r>
        <w:t xml:space="preserve">xgnrkqrg (used for material-specific emissions).</w:t>
      </w:r>
    </w:p>
    <w:p>
      <w:pPr>
        <w:numPr>
          <w:ilvl w:val="0"/>
          <w:numId w:val="1004"/>
        </w:numPr>
        <w:pStyle w:val="Compact"/>
      </w:pPr>
      <w:r>
        <w:rPr>
          <w:bCs/>
          <w:b/>
        </w:rPr>
        <w:t xml:space="preserve">Production Energy:</w:t>
      </w:r>
      <w:r>
        <w:t xml:space="preserve"> </w:t>
      </w:r>
      <w:r>
        <w:t xml:space="preserve">Renewable Energy Usage (hxwkxtqixq), Energy Intensity (dkeywzdyfg).</w:t>
      </w:r>
    </w:p>
    <w:p>
      <w:pPr>
        <w:numPr>
          <w:ilvl w:val="0"/>
          <w:numId w:val="1004"/>
        </w:numPr>
        <w:pStyle w:val="Compact"/>
      </w:pPr>
      <w:r>
        <w:rPr>
          <w:bCs/>
          <w:b/>
        </w:rPr>
        <w:t xml:space="preserve">Logistics:</w:t>
      </w:r>
      <w:r>
        <w:t xml:space="preserve"> </w:t>
      </w:r>
      <w:r>
        <w:t xml:space="preserve">Transport Mode (Select Mode), Transport Distance (figsddyuux), Last-Mile Delivery Channel (Delivery Type).</w:t>
      </w:r>
    </w:p>
    <w:p>
      <w:pPr>
        <w:numPr>
          <w:ilvl w:val="0"/>
          <w:numId w:val="1004"/>
        </w:numPr>
        <w:pStyle w:val="Compact"/>
      </w:pPr>
      <w:r>
        <w:rPr>
          <w:bCs/>
          <w:b/>
        </w:rPr>
        <w:t xml:space="preserve">Use Phase:</w:t>
      </w:r>
      <w:r>
        <w:t xml:space="preserve"> </w:t>
      </w:r>
      <w:r>
        <w:t xml:space="preserve">Product Lifespan (htpfrioonk), Energy Consumption in Use (yunpnxjvtn).</w:t>
      </w:r>
    </w:p>
    <w:p>
      <w:pPr>
        <w:numPr>
          <w:ilvl w:val="0"/>
          <w:numId w:val="1004"/>
        </w:numPr>
        <w:pStyle w:val="Compact"/>
      </w:pPr>
      <w:r>
        <w:rPr>
          <w:bCs/>
          <w:b/>
        </w:rPr>
        <w:t xml:space="preserve">End-of-Life:</w:t>
      </w:r>
      <w:r>
        <w:t xml:space="preserve"> </w:t>
      </w:r>
      <w:r>
        <w:t xml:space="preserve">Recyclability Percentage (rqioeufxgx), Circular/Take-back Programs (jrfqwldepg).</w:t>
      </w:r>
    </w:p>
    <w:p>
      <w:pPr>
        <w:numPr>
          <w:ilvl w:val="0"/>
          <w:numId w:val="1004"/>
        </w:numPr>
        <w:pStyle w:val="Compact"/>
      </w:pPr>
      <w:r>
        <w:rPr>
          <w:bCs/>
          <w:b/>
        </w:rPr>
        <w:t xml:space="preserve">Emission Factors:</w:t>
      </w:r>
      <w:r>
        <w:t xml:space="preserve"> </w:t>
      </w:r>
      <w:r>
        <w:t xml:space="preserve">Industry-standard emission factors (e.g., representative values from Ecoinvent/DEFRA equivalents) were used for energy, transport, and EoL processes where not directly provided in the BOM.</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are calculated for each life cycle stage by multiplying activity data (e.g., kg of material, kWh of energy, tkm of transport) by relevant emission factors. The results are categorized according to the GHG Protocol scopes.</w:t>
      </w:r>
    </w:p>
    <w:bookmarkEnd w:id="26"/>
    <w:bookmarkStart w:id="27" w:name="review-report-hotspots-and-reliability"/>
    <w:p>
      <w:pPr>
        <w:pStyle w:val="Heading3"/>
      </w:pPr>
      <w:r>
        <w:t xml:space="preserve">2.5. Review &amp; Report (Hotspots and Reliability)</w:t>
      </w:r>
    </w:p>
    <w:p>
      <w:pPr>
        <w:pStyle w:val="FirstParagraph"/>
      </w:pPr>
      <w:r>
        <w:t xml:space="preserve">The final step involves synthesizing the calculated emissions, identifying key hotspots, and assessing the reliability of the data and assumptions. This report aims to clearly present the findings and provide actionable insights.</w:t>
      </w:r>
    </w:p>
    <w:p>
      <w:r>
        <w:pict>
          <v:rect style="width:0;height:1.5pt" o:hralign="center" o:hrstd="t" o:hr="t"/>
        </w:pict>
      </w:r>
    </w:p>
    <w:bookmarkEnd w:id="27"/>
    <w:bookmarkEnd w:id="28"/>
    <w:bookmarkStart w:id="29" w:name="ghg-protocol-adherence-2026-lsr-update"/>
    <w:p>
      <w:pPr>
        <w:pStyle w:val="Heading2"/>
      </w:pPr>
      <w:r>
        <w:t xml:space="preserve">3. GHG Protocol Adherence &amp; 2026 LSR Update</w:t>
      </w:r>
    </w:p>
    <w:p>
      <w:pPr>
        <w:pStyle w:val="FirstParagraph"/>
      </w:pPr>
      <w:r>
        <w:t xml:space="preserve">The analysis strictly adheres to the GHG Protocol\'s corporate and product standards. Emissions are categorized as follows:</w:t>
      </w:r>
    </w:p>
    <w:p>
      <w:pPr>
        <w:numPr>
          <w:ilvl w:val="0"/>
          <w:numId w:val="1005"/>
        </w:numPr>
        <w:pStyle w:val="Compact"/>
      </w:pPr>
      <w:r>
        <w:rPr>
          <w:bCs/>
          <w:b/>
        </w:rPr>
        <w:t xml:space="preserve">Scope 1 (Direct Emissions):</w:t>
      </w:r>
      <w:r>
        <w:t xml:space="preserve"> </w:t>
      </w:r>
      <w:r>
        <w:t xml:space="preserve">Direct GHG emissions from sources owned or controlled by</w:t>
      </w:r>
      <w:r>
        <w:t xml:space="preserve"> </w:t>
      </w:r>
      <w:r>
        <w:rPr>
          <w:bCs/>
          <w:b/>
        </w:rPr>
        <w:t xml:space="preserve">qpyjyoskqx</w:t>
      </w:r>
      <w:r>
        <w:t xml:space="preserve">. For this product-level analysis focused on \'factory_gate\' as core, significant Scope 1 operational emissions (e.g., from burning fuel in company vehicles, or on-site combustion for heating) are assumed to be minimal or allocated at a corporate level, with direct manufacturing emissions primarily falling under Scope 2 or 3.</w:t>
      </w:r>
    </w:p>
    <w:p>
      <w:pPr>
        <w:numPr>
          <w:ilvl w:val="0"/>
          <w:numId w:val="1005"/>
        </w:numPr>
        <w:pStyle w:val="Compact"/>
      </w:pPr>
      <w:r>
        <w:rPr>
          <w:bCs/>
          <w:b/>
        </w:rPr>
        <w:t xml:space="preserve">Scope 2 (Purchased Energy Emissions):</w:t>
      </w:r>
      <w:r>
        <w:t xml:space="preserve"> </w:t>
      </w:r>
      <w:r>
        <w:t xml:space="preserve">Indirect GHG emissions from the generation of purchased electricity, heat, or steam consumed by</w:t>
      </w:r>
      <w:r>
        <w:t xml:space="preserve"> </w:t>
      </w:r>
      <w:r>
        <w:rPr>
          <w:bCs/>
          <w:b/>
        </w:rPr>
        <w:t xml:space="preserve">qpyjyoskqx</w:t>
      </w:r>
      <w:r>
        <w:t xml:space="preserve">\'s manufacturing operations.</w:t>
      </w:r>
    </w:p>
    <w:p>
      <w:pPr>
        <w:numPr>
          <w:ilvl w:val="0"/>
          <w:numId w:val="1005"/>
        </w:numPr>
        <w:pStyle w:val="Compact"/>
      </w:pPr>
      <w:r>
        <w:rPr>
          <w:bCs/>
          <w:b/>
        </w:rPr>
        <w:t xml:space="preserve">Scope 3 (Value Chain Emissions):</w:t>
      </w:r>
      <w:r>
        <w:t xml:space="preserve"> </w:t>
      </w:r>
      <w:r>
        <w:t xml:space="preserve">All other indirect emissions occurring in the value chain, both upstream and downstream. This is the most significant scope for a product PCF and includes material production, transport, use phase, and end-of-life.</w:t>
      </w:r>
    </w:p>
    <w:p>
      <w:pPr>
        <w:pStyle w:val="FirstParagraph"/>
      </w:pPr>
      <w:r>
        <w:t xml:space="preserve">In line with the</w:t>
      </w:r>
      <w:r>
        <w:t xml:space="preserve"> </w:t>
      </w:r>
      <w:r>
        <w:rPr>
          <w:bCs/>
          <w:b/>
        </w:rPr>
        <w:t xml:space="preserve">2026 Land Sector and Removals (LSR) Standard update</w:t>
      </w:r>
      <w:r>
        <w:t xml:space="preserve">, efforts have been made to account for land use impacts and potential carbon removals, particularly in the End-of-Life phase through recycling credits. The "Cradle-to-Grave" system boundary ensures at least</w:t>
      </w:r>
      <w:r>
        <w:t xml:space="preserve"> </w:t>
      </w:r>
      <w:r>
        <w:rPr>
          <w:bCs/>
          <w:b/>
        </w:rPr>
        <w:t xml:space="preserve">95% coverage for Scope 3 reporting</w:t>
      </w:r>
      <w:r>
        <w:t xml:space="preserve">, as per upcoming 2026 requirements, by including all relevant upstream and downstream activities.</w:t>
      </w:r>
    </w:p>
    <w:p>
      <w:r>
        <w:pict>
          <v:rect style="width:0;height:1.5pt" o:hralign="center" o:hrstd="t" o:hr="t"/>
        </w:pict>
      </w:r>
    </w:p>
    <w:bookmarkEnd w:id="29"/>
    <w:bookmarkStart w:id="38" w:name="X43613e33d2457d6e120293ff3268e7388fea0c9"/>
    <w:p>
      <w:pPr>
        <w:pStyle w:val="Heading2"/>
      </w:pPr>
      <w:r>
        <w:t xml:space="preserve">4. Detailed Lifecycle Inventory and Data (Steps 2 &amp; 3)</w:t>
      </w:r>
    </w:p>
    <w:bookmarkStart w:id="31" w:name="X1198c8af25dd1a2ebffa686809674f976343a37"/>
    <w:p>
      <w:pPr>
        <w:pStyle w:val="Heading3"/>
      </w:pPr>
      <w:r>
        <w:t xml:space="preserve">4.1. Material Acquisition &amp; Pre-processing (Scope 3 - Upstream)</w:t>
      </w:r>
    </w:p>
    <w:p>
      <w:pPr>
        <w:pStyle w:val="FirstParagraph"/>
      </w:pPr>
      <w:r>
        <w:t xml:space="preserve">The Bill of Materials (BOM) for</w:t>
      </w:r>
      <w:r>
        <w:t xml:space="preserve"> </w:t>
      </w:r>
      <w:r>
        <w:rPr>
          <w:bCs/>
          <w:b/>
        </w:rPr>
        <w:t xml:space="preserve">gsvegtqidh</w:t>
      </w:r>
      <w:r>
        <w:t xml:space="preserve"> </w:t>
      </w:r>
      <w:r>
        <w:t xml:space="preserve">provides a detailed breakdown of components, quantities, and their associated carbon impacts, enabling a high-accuracy material impact calculation.</w:t>
      </w:r>
    </w:p>
    <w:bookmarkStart w:id="30" w:name="bill-of-materials-for-gsvegtqidh"/>
    <w:p>
      <w:pPr>
        <w:pStyle w:val="Heading4"/>
      </w:pPr>
      <w:r>
        <w:t xml:space="preserve">Bill of Materials for gsvegtqidh</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ITEM002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15.0</w:t>
            </w:r>
          </w:p>
        </w:tc>
        <w:tc>
          <w:tcPr/>
          <w:p>
            <w:pPr>
              <w:pStyle w:val="Compact"/>
              <w:jc w:val="left"/>
            </w:pPr>
            <w:r>
              <w:t xml:space="preserve">1.50</w:t>
            </w:r>
          </w:p>
        </w:tc>
      </w:tr>
    </w:tbl>
    <w:p>
      <w:pPr>
        <w:pStyle w:val="BodyText"/>
      </w:pPr>
      <w:r>
        <w:rPr>
          <w:bCs/>
          <w:b/>
        </w:rPr>
        <w:t xml:space="preserve">Total Weight of Product:</w:t>
      </w:r>
      <w:r>
        <w:t xml:space="preserve"> </w:t>
      </w:r>
      <w:r>
        <w:t xml:space="preserve">0.9 kg</w:t>
      </w:r>
    </w:p>
    <w:p>
      <w:pPr>
        <w:pStyle w:val="BodyText"/>
      </w:pPr>
      <w:r>
        <w:rPr>
          <w:bCs/>
          <w:b/>
        </w:rPr>
        <w:t xml:space="preserve">Total Material Emissions:</w:t>
      </w:r>
      <w:r>
        <w:t xml:space="preserve"> </w:t>
      </w:r>
      <w:r>
        <w:t xml:space="preserve">3.65 kg CO2e</w:t>
      </w:r>
    </w:p>
    <w:bookmarkEnd w:id="30"/>
    <w:bookmarkEnd w:id="31"/>
    <w:bookmarkStart w:id="32" w:name="manufacturing-phase-core-production"/>
    <w:p>
      <w:pPr>
        <w:pStyle w:val="Heading3"/>
      </w:pPr>
      <w:r>
        <w:t xml:space="preserve">4.2. Manufacturing Phase (Core Production)</w:t>
      </w:r>
    </w:p>
    <w:p>
      <w:pPr>
        <w:pStyle w:val="FirstParagraph"/>
      </w:pPr>
      <w:r>
        <w:t xml:space="preserve">The manufacturing of</w:t>
      </w:r>
      <w:r>
        <w:t xml:space="preserve"> </w:t>
      </w:r>
      <w:r>
        <w:rPr>
          <w:bCs/>
          <w:b/>
        </w:rPr>
        <w:t xml:space="preserve">gsvegtqidh</w:t>
      </w:r>
      <w:r>
        <w:t xml:space="preserve"> </w:t>
      </w:r>
      <w:r>
        <w:t xml:space="preserve">takes place in China. Energy consumption and its source significantly influence this phase\'s footprint.</w:t>
      </w:r>
    </w:p>
    <w:p>
      <w:pPr>
        <w:numPr>
          <w:ilvl w:val="0"/>
          <w:numId w:val="1006"/>
        </w:numPr>
        <w:pStyle w:val="Compact"/>
      </w:pPr>
      <w:r>
        <w:rPr>
          <w:bCs/>
          <w:b/>
        </w:rPr>
        <w:t xml:space="preserve">Energy Intensity (kWh/unit):</w:t>
      </w:r>
      <w:r>
        <w:t xml:space="preserve"> </w:t>
      </w:r>
      <w:r>
        <w:t xml:space="preserve">15 kWh/unit</w:t>
      </w:r>
    </w:p>
    <w:p>
      <w:pPr>
        <w:numPr>
          <w:ilvl w:val="0"/>
          <w:numId w:val="1006"/>
        </w:numPr>
        <w:pStyle w:val="Compact"/>
      </w:pPr>
      <w:r>
        <w:rPr>
          <w:bCs/>
          <w:b/>
        </w:rPr>
        <w:t xml:space="preserve">Renewable Energy Usage:</w:t>
      </w:r>
      <w:r>
        <w:t xml:space="preserve"> </w:t>
      </w:r>
      <w:r>
        <w:t xml:space="preserve">30%</w:t>
      </w:r>
    </w:p>
    <w:p>
      <w:pPr>
        <w:numPr>
          <w:ilvl w:val="0"/>
          <w:numId w:val="1006"/>
        </w:numPr>
        <w:pStyle w:val="Compact"/>
      </w:pPr>
      <w:r>
        <w:rPr>
          <w:bCs/>
          <w:b/>
        </w:rPr>
        <w:t xml:space="preserve">Assumed China Grid Electricity Emission Factor:</w:t>
      </w:r>
      <w:r>
        <w:t xml:space="preserve"> </w:t>
      </w:r>
      <w:r>
        <w:t xml:space="preserve">0.65 kg CO2e/kWh (representative value)</w:t>
      </w:r>
    </w:p>
    <w:p>
      <w:pPr>
        <w:numPr>
          <w:ilvl w:val="0"/>
          <w:numId w:val="1006"/>
        </w:numPr>
        <w:pStyle w:val="Compact"/>
      </w:pPr>
      <w:r>
        <w:rPr>
          <w:bCs/>
          <w:b/>
        </w:rPr>
        <w:t xml:space="preserve">Assumed Renewable Electricity Emission Factor:</w:t>
      </w:r>
      <w:r>
        <w:t xml:space="preserve"> </w:t>
      </w:r>
      <w:r>
        <w:t xml:space="preserve">0.01 kg CO2e/kWh (representative negligible value)</w:t>
      </w:r>
    </w:p>
    <w:bookmarkEnd w:id="32"/>
    <w:bookmarkStart w:id="35" w:name="X981923b8cb60f0edee598a5efe02199461582eb"/>
    <w:p>
      <w:pPr>
        <w:pStyle w:val="Heading3"/>
      </w:pPr>
      <w:r>
        <w:t xml:space="preserve">4.3. Transportation (Scope 3 - Upstream &amp; Downstream)</w:t>
      </w:r>
    </w:p>
    <w:p>
      <w:pPr>
        <w:pStyle w:val="FirstParagraph"/>
      </w:pPr>
      <w:r>
        <w:t xml:space="preserve">Transportation covers both the inbound logistics of raw materials and components to the factory and the outbound logistics of the finished product to the customer.</w:t>
      </w:r>
    </w:p>
    <w:bookmarkStart w:id="33" w:name="X6363a55101af7a302da2709387634558b6b62ac"/>
    <w:p>
      <w:pPr>
        <w:pStyle w:val="Heading4"/>
      </w:pPr>
      <w:r>
        <w:t xml:space="preserve">Upstream Transport (Raw Materials/Components to China Factory)</w:t>
      </w:r>
    </w:p>
    <w:p>
      <w:pPr>
        <w:numPr>
          <w:ilvl w:val="0"/>
          <w:numId w:val="1007"/>
        </w:numPr>
        <w:pStyle w:val="Compact"/>
      </w:pPr>
      <w:r>
        <w:rPr>
          <w:bCs/>
          <w:b/>
        </w:rPr>
        <w:t xml:space="preserve">Origin:</w:t>
      </w:r>
      <w:r>
        <w:t xml:space="preserve"> </w:t>
      </w:r>
      <w:r>
        <w:t xml:space="preserve">Europe (Supply Chain Focused)</w:t>
      </w:r>
    </w:p>
    <w:p>
      <w:pPr>
        <w:numPr>
          <w:ilvl w:val="0"/>
          <w:numId w:val="1007"/>
        </w:numPr>
        <w:pStyle w:val="Compact"/>
      </w:pPr>
      <w:r>
        <w:rPr>
          <w:bCs/>
          <w:b/>
        </w:rPr>
        <w:t xml:space="preserve">Destination:</w:t>
      </w:r>
      <w:r>
        <w:t xml:space="preserve"> </w:t>
      </w:r>
      <w:r>
        <w:t xml:space="preserve">China (Final Production Country)</w:t>
      </w:r>
    </w:p>
    <w:p>
      <w:pPr>
        <w:numPr>
          <w:ilvl w:val="0"/>
          <w:numId w:val="1007"/>
        </w:numPr>
        <w:pStyle w:val="Compact"/>
      </w:pPr>
      <w:r>
        <w:rPr>
          <w:bCs/>
          <w:b/>
        </w:rPr>
        <w:t xml:space="preserve">Primary Mode:</w:t>
      </w:r>
      <w:r>
        <w:t xml:space="preserve"> </w:t>
      </w:r>
      <w:r>
        <w:t xml:space="preserve">Ocean Freight (estimated 15000 km for intercontinental leg)</w:t>
      </w:r>
    </w:p>
    <w:p>
      <w:pPr>
        <w:numPr>
          <w:ilvl w:val="0"/>
          <w:numId w:val="1007"/>
        </w:numPr>
        <w:pStyle w:val="Compact"/>
      </w:pPr>
      <w:r>
        <w:rPr>
          <w:bCs/>
          <w:b/>
        </w:rPr>
        <w:t xml:space="preserve">Secondary Mode:</w:t>
      </w:r>
      <w:r>
        <w:t xml:space="preserve"> </w:t>
      </w:r>
      <w:r>
        <w:t xml:space="preserve">Road Freight (estimated 800 km for intra-European collection)</w:t>
      </w:r>
    </w:p>
    <w:p>
      <w:pPr>
        <w:numPr>
          <w:ilvl w:val="0"/>
          <w:numId w:val="1007"/>
        </w:numPr>
        <w:pStyle w:val="Compact"/>
      </w:pPr>
      <w:r>
        <w:rPr>
          <w:bCs/>
          <w:b/>
        </w:rPr>
        <w:t xml:space="preserve">Assumed Ocean Freight Emission Factor:</w:t>
      </w:r>
      <w:r>
        <w:t xml:space="preserve"> </w:t>
      </w:r>
      <w:r>
        <w:t xml:space="preserve">0.01 kg CO2e/tkm (representative value)</w:t>
      </w:r>
    </w:p>
    <w:p>
      <w:pPr>
        <w:numPr>
          <w:ilvl w:val="0"/>
          <w:numId w:val="1007"/>
        </w:numPr>
        <w:pStyle w:val="Compact"/>
      </w:pPr>
      <w:r>
        <w:rPr>
          <w:bCs/>
          <w:b/>
        </w:rPr>
        <w:t xml:space="preserve">Assumed Road Freight Emission Factor (Heavy Truck, EU average):</w:t>
      </w:r>
      <w:r>
        <w:t xml:space="preserve"> </w:t>
      </w:r>
      <w:r>
        <w:t xml:space="preserve">0.09 kg CO2e/tkm (representative value)</w:t>
      </w:r>
    </w:p>
    <w:bookmarkEnd w:id="33"/>
    <w:bookmarkStart w:id="34" w:name="Xd1cf7d79aa8369b3001fd78a7af563bc2909ece"/>
    <w:p>
      <w:pPr>
        <w:pStyle w:val="Heading4"/>
      </w:pPr>
      <w:r>
        <w:t xml:space="preserve">Downstream Transport (Finished Product from China to European Customer)</w:t>
      </w:r>
    </w:p>
    <w:p>
      <w:pPr>
        <w:numPr>
          <w:ilvl w:val="0"/>
          <w:numId w:val="1008"/>
        </w:numPr>
        <w:pStyle w:val="Compact"/>
      </w:pPr>
      <w:r>
        <w:rPr>
          <w:bCs/>
          <w:b/>
        </w:rPr>
        <w:t xml:space="preserve">Primary Mode:</w:t>
      </w:r>
      <w:r>
        <w:t xml:space="preserve"> </w:t>
      </w:r>
      <w:r>
        <w:t xml:space="preserve">Ocean Freight (from China to Europe, estimated 15000 km)</w:t>
      </w:r>
    </w:p>
    <w:p>
      <w:pPr>
        <w:numPr>
          <w:ilvl w:val="0"/>
          <w:numId w:val="1008"/>
        </w:numPr>
        <w:pStyle w:val="Compact"/>
      </w:pPr>
      <w:r>
        <w:rPr>
          <w:bCs/>
          <w:b/>
        </w:rPr>
        <w:t xml:space="preserve">Last-Mile Delivery Channel:</w:t>
      </w:r>
      <w:r>
        <w:t xml:space="preserve"> </w:t>
      </w:r>
      <w:r>
        <w:t xml:space="preserve">Light Commercial Vehicle (LCV)</w:t>
      </w:r>
    </w:p>
    <w:p>
      <w:pPr>
        <w:numPr>
          <w:ilvl w:val="0"/>
          <w:numId w:val="1008"/>
        </w:numPr>
        <w:pStyle w:val="Compact"/>
      </w:pPr>
      <w:r>
        <w:rPr>
          <w:bCs/>
          <w:b/>
        </w:rPr>
        <w:t xml:space="preserve">Assumed Last-Mile Delivery Distance:</w:t>
      </w:r>
      <w:r>
        <w:t xml:space="preserve"> </w:t>
      </w:r>
      <w:r>
        <w:t xml:space="preserve">100 km (average)</w:t>
      </w:r>
    </w:p>
    <w:p>
      <w:pPr>
        <w:numPr>
          <w:ilvl w:val="0"/>
          <w:numId w:val="1008"/>
        </w:numPr>
        <w:pStyle w:val="Compact"/>
      </w:pPr>
      <w:r>
        <w:rPr>
          <w:bCs/>
          <w:b/>
        </w:rPr>
        <w:t xml:space="preserve">Assumed Last-Mile Delivery Emission Factor (LCV):</w:t>
      </w:r>
      <w:r>
        <w:t xml:space="preserve"> </w:t>
      </w:r>
      <w:r>
        <w:t xml:space="preserve">0.05 kg CO2e/unit (simplified representative value for distance &amp; payload)</w:t>
      </w:r>
    </w:p>
    <w:bookmarkEnd w:id="34"/>
    <w:bookmarkEnd w:id="35"/>
    <w:bookmarkStart w:id="36" w:name="use-phase-scope-3---downstream"/>
    <w:p>
      <w:pPr>
        <w:pStyle w:val="Heading3"/>
      </w:pPr>
      <w:r>
        <w:t xml:space="preserve">4.4. Use Phase (Scope 3 - Downstream)</w:t>
      </w:r>
    </w:p>
    <w:p>
      <w:pPr>
        <w:pStyle w:val="FirstParagraph"/>
      </w:pPr>
      <w:r>
        <w:t xml:space="preserve">The use phase reflects the energy consumed by the end-user during the product\'s lifespan.</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10 kWh/year</w:t>
      </w:r>
    </w:p>
    <w:p>
      <w:pPr>
        <w:numPr>
          <w:ilvl w:val="0"/>
          <w:numId w:val="1009"/>
        </w:numPr>
        <w:pStyle w:val="Compact"/>
      </w:pPr>
      <w:r>
        <w:rPr>
          <w:bCs/>
          <w:b/>
        </w:rPr>
        <w:t xml:space="preserve">Assumed Europe Grid Electricity Emission Factor (for consumer use):</w:t>
      </w:r>
      <w:r>
        <w:t xml:space="preserve"> </w:t>
      </w:r>
      <w:r>
        <w:t xml:space="preserve">0.25 kg CO2e/kWh (representative average)</w:t>
      </w:r>
    </w:p>
    <w:bookmarkEnd w:id="36"/>
    <w:bookmarkStart w:id="37" w:name="X2449e76f36fce2c9fec3c701a472f020b80894d"/>
    <w:p>
      <w:pPr>
        <w:pStyle w:val="Heading3"/>
      </w:pPr>
      <w:r>
        <w:t xml:space="preserve">4.5. End-of-Life (EoL) Scenarios (Scope 3 - Downstream)</w:t>
      </w:r>
    </w:p>
    <w:p>
      <w:pPr>
        <w:pStyle w:val="FirstParagraph"/>
      </w:pPr>
      <w:r>
        <w:t xml:space="preserve">End-of-Life considerations incorporate the circularity aspects of</w:t>
      </w:r>
      <w:r>
        <w:t xml:space="preserve"> </w:t>
      </w:r>
      <w:r>
        <w:rPr>
          <w:bCs/>
          <w:b/>
        </w:rPr>
        <w:t xml:space="preserve">gsvegtqidh</w:t>
      </w:r>
      <w:r>
        <w:t xml:space="preserve">.</w:t>
      </w:r>
    </w:p>
    <w:p>
      <w:pPr>
        <w:numPr>
          <w:ilvl w:val="0"/>
          <w:numId w:val="1010"/>
        </w:numPr>
        <w:pStyle w:val="Compact"/>
      </w:pPr>
      <w:r>
        <w:rPr>
          <w:bCs/>
          <w:b/>
        </w:rPr>
        <w:t xml:space="preserve">Recyclability Percentage:</w:t>
      </w:r>
      <w:r>
        <w:t xml:space="preserve"> </w:t>
      </w:r>
      <w:r>
        <w:t xml:space="preserve">70%</w:t>
      </w:r>
    </w:p>
    <w:p>
      <w:pPr>
        <w:numPr>
          <w:ilvl w:val="0"/>
          <w:numId w:val="1010"/>
        </w:numPr>
        <w:pStyle w:val="Compact"/>
      </w:pPr>
      <w:r>
        <w:rPr>
          <w:bCs/>
          <w:b/>
        </w:rPr>
        <w:t xml:space="preserve">Circular/Take-back Programs:</w:t>
      </w:r>
      <w:r>
        <w:t xml:space="preserve"> </w:t>
      </w:r>
      <w:r>
        <w:t xml:space="preserve">Yes, a dedicated product take-back program is available, supporting the high recyclability rate.</w:t>
      </w:r>
    </w:p>
    <w:p>
      <w:pPr>
        <w:numPr>
          <w:ilvl w:val="0"/>
          <w:numId w:val="1010"/>
        </w:numPr>
        <w:pStyle w:val="Compact"/>
      </w:pPr>
      <w:r>
        <w:rPr>
          <w:bCs/>
          <w:b/>
        </w:rPr>
        <w:t xml:space="preserve">Assumed Recycling Credit Emission Factor:</w:t>
      </w:r>
      <w:r>
        <w:t xml:space="preserve"> </w:t>
      </w:r>
      <w:r>
        <w:t xml:space="preserve">-1.5 kg CO2e/kg (representative for avoided primary production)</w:t>
      </w:r>
    </w:p>
    <w:p>
      <w:pPr>
        <w:numPr>
          <w:ilvl w:val="0"/>
          <w:numId w:val="1010"/>
        </w:numPr>
        <w:pStyle w:val="Compact"/>
      </w:pPr>
      <w:r>
        <w:rPr>
          <w:bCs/>
          <w:b/>
        </w:rPr>
        <w:t xml:space="preserve">Assumed Landfill/Incineration Emission Factor:</w:t>
      </w:r>
      <w:r>
        <w:t xml:space="preserve"> </w:t>
      </w:r>
      <w:r>
        <w:t xml:space="preserve">1.0 kg CO2e/kg (representative for disposal burden)</w:t>
      </w:r>
    </w:p>
    <w:p>
      <w:r>
        <w:pict>
          <v:rect style="width:0;height:1.5pt" o:hralign="center" o:hrstd="t" o:hr="t"/>
        </w:pict>
      </w:r>
    </w:p>
    <w:bookmarkEnd w:id="37"/>
    <w:bookmarkEnd w:id="38"/>
    <w:bookmarkStart w:id="49" w:name="Xc44f4fb7b7d996c70a35b53848d4360034de011"/>
    <w:p>
      <w:pPr>
        <w:pStyle w:val="Heading2"/>
      </w:pPr>
      <w:r>
        <w:t xml:space="preserve">5. Emissions Calculation and Hotspot Analysis (Step 4)</w:t>
      </w:r>
    </w:p>
    <w:p>
      <w:pPr>
        <w:pStyle w:val="FirstParagraph"/>
      </w:pPr>
      <w:r>
        <w:t xml:space="preserve">The following calculations derive the total product carbon footprint for</w:t>
      </w:r>
      <w:r>
        <w:t xml:space="preserve"> </w:t>
      </w:r>
      <w:r>
        <w:rPr>
          <w:bCs/>
          <w:b/>
        </w:rPr>
        <w:t xml:space="preserve">gsvegtqidh</w:t>
      </w:r>
      <w:r>
        <w:t xml:space="preserve"> </w:t>
      </w:r>
      <w:r>
        <w:t xml:space="preserve">per functional unit (1.0 unit). All figures are in kg CO2e.</w:t>
      </w:r>
    </w:p>
    <w:bookmarkStart w:id="41" w:name="scope-3-upstream-emissions"/>
    <w:p>
      <w:pPr>
        <w:pStyle w:val="Heading3"/>
      </w:pPr>
      <w:r>
        <w:t xml:space="preserve">5.1. Scope 3: Upstream Emissions</w:t>
      </w:r>
    </w:p>
    <w:bookmarkStart w:id="39" w:name="material-acquisition-pre-processing"/>
    <w:p>
      <w:pPr>
        <w:pStyle w:val="Heading4"/>
      </w:pPr>
      <w:r>
        <w:t xml:space="preserve">Material Acquisition &amp; Pre-processing</w:t>
      </w:r>
    </w:p>
    <w:p>
      <w:pPr>
        <w:numPr>
          <w:ilvl w:val="0"/>
          <w:numId w:val="1011"/>
        </w:numPr>
        <w:pStyle w:val="Compact"/>
      </w:pPr>
      <w:r>
        <w:t xml:space="preserve">Aluminum casing: 1.25 kg CO2e</w:t>
      </w:r>
    </w:p>
    <w:p>
      <w:pPr>
        <w:numPr>
          <w:ilvl w:val="0"/>
          <w:numId w:val="1011"/>
        </w:numPr>
        <w:pStyle w:val="Compact"/>
      </w:pPr>
      <w:r>
        <w:t xml:space="preserve">Plastic components: 0.90 kg CO2e</w:t>
      </w:r>
    </w:p>
    <w:p>
      <w:pPr>
        <w:numPr>
          <w:ilvl w:val="0"/>
          <w:numId w:val="1011"/>
        </w:numPr>
        <w:pStyle w:val="Compact"/>
      </w:pPr>
      <w:r>
        <w:t xml:space="preserve">Circuit board: 1.50 kg CO2e</w:t>
      </w:r>
    </w:p>
    <w:p>
      <w:pPr>
        <w:numPr>
          <w:ilvl w:val="0"/>
          <w:numId w:val="1011"/>
        </w:numPr>
        <w:pStyle w:val="Compact"/>
      </w:pPr>
      <w:r>
        <w:rPr>
          <w:bCs/>
          <w:b/>
        </w:rPr>
        <w:t xml:space="preserve">Subtotal Material Emissions: 3.65 kg CO2e</w:t>
      </w:r>
    </w:p>
    <w:bookmarkEnd w:id="39"/>
    <w:bookmarkStart w:id="40" w:name="upstream-transportation"/>
    <w:p>
      <w:pPr>
        <w:pStyle w:val="Heading4"/>
      </w:pPr>
      <w:r>
        <w:t xml:space="preserve">Upstream Transportation</w:t>
      </w:r>
    </w:p>
    <w:p>
      <w:pPr>
        <w:numPr>
          <w:ilvl w:val="0"/>
          <w:numId w:val="1012"/>
        </w:numPr>
        <w:pStyle w:val="Compact"/>
      </w:pPr>
      <w:r>
        <w:t xml:space="preserve">Road Freight (raw materials, Europe): (0.9 kg / 1000) * 800 km * 0.09 kg CO2e/tkm = 0.0648 kg CO2e</w:t>
      </w:r>
    </w:p>
    <w:p>
      <w:pPr>
        <w:numPr>
          <w:ilvl w:val="0"/>
          <w:numId w:val="1012"/>
        </w:numPr>
        <w:pStyle w:val="Compact"/>
      </w:pPr>
      <w:r>
        <w:t xml:space="preserve">Ocean Freight (raw materials, Europe to China): (0.9 kg / 1000) * 15000 km * 0.01 kg CO2e/tkm = 0.135 kg CO2e</w:t>
      </w:r>
    </w:p>
    <w:p>
      <w:pPr>
        <w:numPr>
          <w:ilvl w:val="0"/>
          <w:numId w:val="1012"/>
        </w:numPr>
        <w:pStyle w:val="Compact"/>
      </w:pPr>
      <w:r>
        <w:rPr>
          <w:bCs/>
          <w:b/>
        </w:rPr>
        <w:t xml:space="preserve">Subtotal Upstream Transport Emissions: 0.1998 kg CO2e</w:t>
      </w:r>
    </w:p>
    <w:p>
      <w:pPr>
        <w:pStyle w:val="FirstParagraph"/>
      </w:pPr>
      <w:r>
        <w:rPr>
          <w:bCs/>
          <w:b/>
        </w:rPr>
        <w:t xml:space="preserve">Total Scope 3 Upstream Emissions: 3.65 + 0.1998 = 3.8498 kg CO2e</w:t>
      </w:r>
    </w:p>
    <w:bookmarkEnd w:id="40"/>
    <w:bookmarkEnd w:id="41"/>
    <w:bookmarkStart w:id="43" w:name="scope-2-purchased-energy-emissions"/>
    <w:p>
      <w:pPr>
        <w:pStyle w:val="Heading3"/>
      </w:pPr>
      <w:r>
        <w:t xml:space="preserve">5.2. Scope 2: Purchased Energy Emissions</w:t>
      </w:r>
    </w:p>
    <w:bookmarkStart w:id="42" w:name="manufacturing-energy"/>
    <w:p>
      <w:pPr>
        <w:pStyle w:val="Heading4"/>
      </w:pPr>
      <w:r>
        <w:t xml:space="preserve">Manufacturing Energy</w:t>
      </w:r>
    </w:p>
    <w:p>
      <w:pPr>
        <w:numPr>
          <w:ilvl w:val="0"/>
          <w:numId w:val="1013"/>
        </w:numPr>
        <w:pStyle w:val="Compact"/>
      </w:pPr>
      <w:r>
        <w:t xml:space="preserve">Total Energy Intensity: 15 kWh/unit</w:t>
      </w:r>
    </w:p>
    <w:p>
      <w:pPr>
        <w:numPr>
          <w:ilvl w:val="0"/>
          <w:numId w:val="1013"/>
        </w:numPr>
        <w:pStyle w:val="Compact"/>
      </w:pPr>
      <w:r>
        <w:t xml:space="preserve">Grid Electricity (70%): 15 kWh * 0.70 = 10.5 kWh</w:t>
      </w:r>
    </w:p>
    <w:p>
      <w:pPr>
        <w:numPr>
          <w:ilvl w:val="0"/>
          <w:numId w:val="1013"/>
        </w:numPr>
        <w:pStyle w:val="Compact"/>
      </w:pPr>
      <w:r>
        <w:t xml:space="preserve">Renewable Electricity (30%): 15 kWh * 0.30 = 4.5 kWh</w:t>
      </w:r>
    </w:p>
    <w:p>
      <w:pPr>
        <w:numPr>
          <w:ilvl w:val="0"/>
          <w:numId w:val="1013"/>
        </w:numPr>
        <w:pStyle w:val="Compact"/>
      </w:pPr>
      <w:r>
        <w:t xml:space="preserve">Emissions from Grid Electricity: 10.5 kWh * 0.65 kg CO2e/kWh = 6.825 kg CO2e</w:t>
      </w:r>
    </w:p>
    <w:p>
      <w:pPr>
        <w:numPr>
          <w:ilvl w:val="0"/>
          <w:numId w:val="1013"/>
        </w:numPr>
        <w:pStyle w:val="Compact"/>
      </w:pPr>
      <w:r>
        <w:t xml:space="preserve">Emissions from Renewable Electricity: 4.5 kWh * 0.01 kg CO2e/kWh = 0.045 kg CO2e</w:t>
      </w:r>
    </w:p>
    <w:p>
      <w:pPr>
        <w:numPr>
          <w:ilvl w:val="0"/>
          <w:numId w:val="1013"/>
        </w:numPr>
        <w:pStyle w:val="Compact"/>
      </w:pPr>
      <w:r>
        <w:rPr>
          <w:bCs/>
          <w:b/>
        </w:rPr>
        <w:t xml:space="preserve">Total Scope 2 Emissions: 6.825 + 0.045 = 6.87 kg CO2e</w:t>
      </w:r>
    </w:p>
    <w:bookmarkEnd w:id="42"/>
    <w:bookmarkEnd w:id="43"/>
    <w:bookmarkStart w:id="47" w:name="scope-3-downstream-emissions"/>
    <w:p>
      <w:pPr>
        <w:pStyle w:val="Heading3"/>
      </w:pPr>
      <w:r>
        <w:t xml:space="preserve">5.3. Scope 3: Downstream Emissions</w:t>
      </w:r>
    </w:p>
    <w:bookmarkStart w:id="44" w:name="downstream-transportation"/>
    <w:p>
      <w:pPr>
        <w:pStyle w:val="Heading4"/>
      </w:pPr>
      <w:r>
        <w:t xml:space="preserve">Downstream Transportation</w:t>
      </w:r>
    </w:p>
    <w:p>
      <w:pPr>
        <w:numPr>
          <w:ilvl w:val="0"/>
          <w:numId w:val="1014"/>
        </w:numPr>
        <w:pStyle w:val="Compact"/>
      </w:pPr>
      <w:r>
        <w:t xml:space="preserve">Ocean Freight (finished product, China to Europe): (0.9 kg / 1000) * 15000 km * 0.01 kg CO2e/tkm = 0.135 kg CO2e</w:t>
      </w:r>
    </w:p>
    <w:p>
      <w:pPr>
        <w:numPr>
          <w:ilvl w:val="0"/>
          <w:numId w:val="1014"/>
        </w:numPr>
        <w:pStyle w:val="Compact"/>
      </w:pPr>
      <w:r>
        <w:t xml:space="preserve">Last-Mile Delivery (LCV): 0.05 kg CO2e (assumed)</w:t>
      </w:r>
    </w:p>
    <w:p>
      <w:pPr>
        <w:numPr>
          <w:ilvl w:val="0"/>
          <w:numId w:val="1014"/>
        </w:numPr>
        <w:pStyle w:val="Compact"/>
      </w:pPr>
      <w:r>
        <w:rPr>
          <w:bCs/>
          <w:b/>
        </w:rPr>
        <w:t xml:space="preserve">Subtotal Downstream Transport Emissions: 0.135 + 0.05 = 0.185 kg CO2e</w:t>
      </w:r>
    </w:p>
    <w:bookmarkEnd w:id="44"/>
    <w:bookmarkStart w:id="45" w:name="use-phase"/>
    <w:p>
      <w:pPr>
        <w:pStyle w:val="Heading4"/>
      </w:pPr>
      <w:r>
        <w:t xml:space="preserve">Use Phase</w:t>
      </w:r>
    </w:p>
    <w:p>
      <w:pPr>
        <w:numPr>
          <w:ilvl w:val="0"/>
          <w:numId w:val="1015"/>
        </w:numPr>
        <w:pStyle w:val="Compact"/>
      </w:pPr>
      <w:r>
        <w:t xml:space="preserve">Energy Consumption: 10 kWh/year * 5 years = 50 kWh</w:t>
      </w:r>
    </w:p>
    <w:p>
      <w:pPr>
        <w:numPr>
          <w:ilvl w:val="0"/>
          <w:numId w:val="1015"/>
        </w:numPr>
        <w:pStyle w:val="Compact"/>
      </w:pPr>
      <w:r>
        <w:t xml:space="preserve">Emissions from Use Phase: 50 kWh * 0.25 kg CO2e/kWh = 12.5 kg CO2e</w:t>
      </w:r>
    </w:p>
    <w:p>
      <w:pPr>
        <w:numPr>
          <w:ilvl w:val="0"/>
          <w:numId w:val="1015"/>
        </w:numPr>
        <w:pStyle w:val="Compact"/>
      </w:pPr>
      <w:r>
        <w:rPr>
          <w:bCs/>
          <w:b/>
        </w:rPr>
        <w:t xml:space="preserve">Total Use Phase Emissions: 12.5 kg CO2e</w:t>
      </w:r>
    </w:p>
    <w:bookmarkEnd w:id="45"/>
    <w:bookmarkStart w:id="46" w:name="end-of-life-eol"/>
    <w:p>
      <w:pPr>
        <w:pStyle w:val="Heading4"/>
      </w:pPr>
      <w:r>
        <w:t xml:space="preserve">End-of-Life (EoL)</w:t>
      </w:r>
    </w:p>
    <w:p>
      <w:pPr>
        <w:numPr>
          <w:ilvl w:val="0"/>
          <w:numId w:val="1016"/>
        </w:numPr>
        <w:pStyle w:val="Compact"/>
      </w:pPr>
      <w:r>
        <w:t xml:space="preserve">Product Weight: 0.9 kg</w:t>
      </w:r>
    </w:p>
    <w:p>
      <w:pPr>
        <w:numPr>
          <w:ilvl w:val="0"/>
          <w:numId w:val="1016"/>
        </w:numPr>
        <w:pStyle w:val="Compact"/>
      </w:pPr>
      <w:r>
        <w:t xml:space="preserve">Recycled Portion (70%): 0.9 kg * 0.70 = 0.63 kg</w:t>
      </w:r>
    </w:p>
    <w:p>
      <w:pPr>
        <w:numPr>
          <w:ilvl w:val="0"/>
          <w:numId w:val="1016"/>
        </w:numPr>
        <w:pStyle w:val="Compact"/>
      </w:pPr>
      <w:r>
        <w:t xml:space="preserve">Disposed Portion (30%): 0.9 kg * 0.30 = 0.27 kg</w:t>
      </w:r>
    </w:p>
    <w:p>
      <w:pPr>
        <w:numPr>
          <w:ilvl w:val="0"/>
          <w:numId w:val="1016"/>
        </w:numPr>
        <w:pStyle w:val="Compact"/>
      </w:pPr>
      <w:r>
        <w:t xml:space="preserve">Recycling Credit: 0.63 kg * -1.5 kg CO2e/kg = -0.945 kg CO2e</w:t>
      </w:r>
    </w:p>
    <w:p>
      <w:pPr>
        <w:numPr>
          <w:ilvl w:val="0"/>
          <w:numId w:val="1016"/>
        </w:numPr>
        <w:pStyle w:val="Compact"/>
      </w:pPr>
      <w:r>
        <w:t xml:space="preserve">Disposal Burden: 0.27 kg * 1.0 kg CO2e/kg = 0.27 kg CO2e</w:t>
      </w:r>
    </w:p>
    <w:p>
      <w:pPr>
        <w:numPr>
          <w:ilvl w:val="0"/>
          <w:numId w:val="1016"/>
        </w:numPr>
        <w:pStyle w:val="Compact"/>
      </w:pPr>
      <w:r>
        <w:rPr>
          <w:bCs/>
          <w:b/>
        </w:rPr>
        <w:t xml:space="preserve">Total End-of-Life Emissions: -0.945 + 0.27 = -0.675 kg CO2e</w:t>
      </w:r>
    </w:p>
    <w:p>
      <w:pPr>
        <w:pStyle w:val="FirstParagraph"/>
      </w:pPr>
      <w:r>
        <w:rPr>
          <w:bCs/>
          <w:b/>
        </w:rPr>
        <w:t xml:space="preserve">Total Scope 3 Downstream Emissions: 0.185 + 12.5 - 0.675 = 12.01 kg CO2e</w:t>
      </w:r>
    </w:p>
    <w:bookmarkEnd w:id="46"/>
    <w:bookmarkEnd w:id="47"/>
    <w:bookmarkStart w:id="48" w:name="total-product-carbon-footprint"/>
    <w:p>
      <w:pPr>
        <w:pStyle w:val="Heading3"/>
      </w:pPr>
      <w:r>
        <w:t xml:space="preserve">5.4. Total Product Carbon Footprint</w:t>
      </w:r>
    </w:p>
    <w:p>
      <w:pPr>
        <w:pStyle w:val="FirstParagraph"/>
      </w:pPr>
      <w:r>
        <w:t xml:space="preserve">Summing up all calculated emissions across the lifecycle:</w:t>
      </w:r>
    </w:p>
    <w:p>
      <w:pPr>
        <w:numPr>
          <w:ilvl w:val="0"/>
          <w:numId w:val="1017"/>
        </w:numPr>
        <w:pStyle w:val="Compact"/>
      </w:pPr>
      <w:r>
        <w:t xml:space="preserve">Scope 3 Upstream: 3.8498 kg CO2e</w:t>
      </w:r>
    </w:p>
    <w:p>
      <w:pPr>
        <w:numPr>
          <w:ilvl w:val="0"/>
          <w:numId w:val="1017"/>
        </w:numPr>
        <w:pStyle w:val="Compact"/>
      </w:pPr>
      <w:r>
        <w:t xml:space="preserve">Scope 2 Manufacturing: 6.87 kg CO2e</w:t>
      </w:r>
    </w:p>
    <w:p>
      <w:pPr>
        <w:numPr>
          <w:ilvl w:val="0"/>
          <w:numId w:val="1017"/>
        </w:numPr>
        <w:pStyle w:val="Compact"/>
      </w:pPr>
      <w:r>
        <w:t xml:space="preserve">Scope 3 Downstream: 12.01 kg CO2e</w:t>
      </w:r>
    </w:p>
    <w:p>
      <w:pPr>
        <w:pStyle w:val="FirstParagraph"/>
      </w:pPr>
      <w:r>
        <w:rPr>
          <w:bCs/>
          <w:b/>
        </w:rPr>
        <w:t xml:space="preserve">Total PCF for gsvegtqidh (1.0 unit): 3.8498 + 6.87 + 12.01 = 22.7298 kg CO2e</w:t>
      </w:r>
    </w:p>
    <w:p>
      <w:pPr>
        <w:pStyle w:val="BodyText"/>
      </w:pPr>
      <w:r>
        <w:rPr>
          <w:bCs/>
          <w:b/>
        </w:rPr>
        <w:t xml:space="preserve">Rounded Total PCF: 22.73 kg CO2e per unit of gsvegtqidh</w:t>
      </w:r>
    </w:p>
    <w:p>
      <w:r>
        <w:pict>
          <v:rect style="width:0;height:1.5pt" o:hralign="center" o:hrstd="t" o:hr="t"/>
        </w:pict>
      </w:r>
    </w:p>
    <w:bookmarkEnd w:id="48"/>
    <w:bookmarkEnd w:id="49"/>
    <w:bookmarkStart w:id="53" w:name="review-report-step-5"/>
    <w:p>
      <w:pPr>
        <w:pStyle w:val="Heading2"/>
      </w:pPr>
      <w:r>
        <w:t xml:space="preserve">6. Review &amp; Report (Step 5)</w:t>
      </w:r>
    </w:p>
    <w:bookmarkStart w:id="50" w:name="hotspots-identification"/>
    <w:p>
      <w:pPr>
        <w:pStyle w:val="Heading3"/>
      </w:pPr>
      <w:r>
        <w:t xml:space="preserve">6.1. Hotspots Identification</w:t>
      </w:r>
    </w:p>
    <w:p>
      <w:pPr>
        <w:pStyle w:val="FirstParagraph"/>
      </w:pPr>
      <w:r>
        <w:t xml:space="preserve">Based on this analysis, the primary hotspots for the product</w:t>
      </w:r>
      <w:r>
        <w:t xml:space="preserve"> </w:t>
      </w:r>
      <w:r>
        <w:rPr>
          <w:bCs/>
          <w:b/>
        </w:rPr>
        <w:t xml:space="preserve">gsvegtqidh</w:t>
      </w:r>
      <w:r>
        <w:t xml:space="preserve"> </w:t>
      </w:r>
      <w:r>
        <w:t xml:space="preserve">are:</w:t>
      </w:r>
    </w:p>
    <w:p>
      <w:pPr>
        <w:numPr>
          <w:ilvl w:val="0"/>
          <w:numId w:val="1018"/>
        </w:numPr>
        <w:pStyle w:val="Compact"/>
      </w:pPr>
      <w:r>
        <w:rPr>
          <w:bCs/>
          <w:b/>
        </w:rPr>
        <w:t xml:space="preserve">Use Phase (12.5 kg CO2e):</w:t>
      </w:r>
      <w:r>
        <w:t xml:space="preserve"> </w:t>
      </w:r>
      <w:r>
        <w:t xml:space="preserve">Represents the largest contribution to the PCF, mainly due to the energy consumption over the product\'s 5-year lifespan.</w:t>
      </w:r>
    </w:p>
    <w:p>
      <w:pPr>
        <w:numPr>
          <w:ilvl w:val="0"/>
          <w:numId w:val="1018"/>
        </w:numPr>
        <w:pStyle w:val="Compact"/>
      </w:pPr>
      <w:r>
        <w:rPr>
          <w:bCs/>
          <w:b/>
        </w:rPr>
        <w:t xml:space="preserve">Manufacturing Energy (6.87 kg CO2e):</w:t>
      </w:r>
      <w:r>
        <w:t xml:space="preserve"> </w:t>
      </w:r>
      <w:r>
        <w:t xml:space="preserve">Significant due to the energy intensity of production processes and the reliance on grid electricity in China, despite 30% renewable energy usage.</w:t>
      </w:r>
    </w:p>
    <w:p>
      <w:pPr>
        <w:numPr>
          <w:ilvl w:val="0"/>
          <w:numId w:val="1018"/>
        </w:numPr>
        <w:pStyle w:val="Compact"/>
      </w:pPr>
      <w:r>
        <w:rPr>
          <w:bCs/>
          <w:b/>
        </w:rPr>
        <w:t xml:space="preserve">Material Acquisition &amp; Pre-processing (3.65 kg CO2e):</w:t>
      </w:r>
      <w:r>
        <w:t xml:space="preserve"> </w:t>
      </w:r>
      <w:r>
        <w:t xml:space="preserve">The inherent emissions from raw material extraction and processing contribute notably, particularly the circuit board.</w:t>
      </w:r>
    </w:p>
    <w:bookmarkEnd w:id="50"/>
    <w:bookmarkStart w:id="51" w:name="reliability-and-limitations"/>
    <w:p>
      <w:pPr>
        <w:pStyle w:val="Heading3"/>
      </w:pPr>
      <w:r>
        <w:t xml:space="preserve">6.2. Reliability and Limitations</w:t>
      </w:r>
    </w:p>
    <w:p>
      <w:pPr>
        <w:pStyle w:val="FirstParagraph"/>
      </w:pPr>
      <w:r>
        <w:t xml:space="preserve">The reliability of this report is dependent on the accuracy of the provided parameters and the representativeness of the assumed emission factors. Key considerations include:</w:t>
      </w:r>
    </w:p>
    <w:p>
      <w:pPr>
        <w:numPr>
          <w:ilvl w:val="0"/>
          <w:numId w:val="1019"/>
        </w:numPr>
        <w:pStyle w:val="Compact"/>
      </w:pPr>
      <w:r>
        <w:rPr>
          <w:bCs/>
          <w:b/>
        </w:rPr>
        <w:t xml:space="preserve">Secondary Data:</w:t>
      </w:r>
      <w:r>
        <w:t xml:space="preserve"> </w:t>
      </w:r>
      <w:r>
        <w:t xml:space="preserve">Where primary data was not available (e.g., specific emission factors for all transport modes, regional electricity mixes for use phase), industry-average or representative emission factors from recognized databases (like Ecoinvent/DEFRA equivalents) have been applied.</w:t>
      </w:r>
    </w:p>
    <w:p>
      <w:pPr>
        <w:numPr>
          <w:ilvl w:val="0"/>
          <w:numId w:val="1019"/>
        </w:numPr>
        <w:pStyle w:val="Compact"/>
      </w:pPr>
      <w:r>
        <w:rPr>
          <w:bCs/>
          <w:b/>
        </w:rPr>
        <w:t xml:space="preserve">Assumptions:</w:t>
      </w:r>
      <w:r>
        <w:t xml:space="preserve"> </w:t>
      </w:r>
      <w:r>
        <w:t xml:space="preserve">Specific distances, payload efficiencies, and typical end-of-life pathways have been estimated based on general industry knowledge. More precise primary data for these parameters would enhance accuracy.</w:t>
      </w:r>
    </w:p>
    <w:p>
      <w:pPr>
        <w:numPr>
          <w:ilvl w:val="0"/>
          <w:numId w:val="1019"/>
        </w:numPr>
        <w:pStyle w:val="Compact"/>
      </w:pPr>
      <w:r>
        <w:rPr>
          <w:bCs/>
          <w:b/>
        </w:rPr>
        <w:t xml:space="preserve">System Boundary Interpretation:</w:t>
      </w:r>
      <w:r>
        <w:t xml:space="preserve"> </w:t>
      </w:r>
      <w:r>
        <w:t xml:space="preserve">The interpretation of \'factory_gate\' as core production within a broader \'Cradle-to-Grave\' context for comprehensive Scope 3 reporting ensures compliance but highlights the need for clear boundary definitions in future assessments.</w:t>
      </w:r>
    </w:p>
    <w:bookmarkEnd w:id="51"/>
    <w:bookmarkStart w:id="52" w:name="recommendations-for-qpyjyoskqx"/>
    <w:p>
      <w:pPr>
        <w:pStyle w:val="Heading3"/>
      </w:pPr>
      <w:r>
        <w:t xml:space="preserve">6.3. Recommendations for qpyjyoskqx</w:t>
      </w:r>
    </w:p>
    <w:p>
      <w:pPr>
        <w:numPr>
          <w:ilvl w:val="0"/>
          <w:numId w:val="1020"/>
        </w:numPr>
        <w:pStyle w:val="Compact"/>
      </w:pPr>
      <w:r>
        <w:rPr>
          <w:bCs/>
          <w:b/>
        </w:rPr>
        <w:t xml:space="preserve">Optimize Use Phase:</w:t>
      </w:r>
      <w:r>
        <w:t xml:space="preserve"> </w:t>
      </w:r>
      <w:r>
        <w:t xml:space="preserve">Invest in energy-efficient design, explore lower power consumption modes, and consider energy-saving features to reduce the product\'s footprint during its operational life.</w:t>
      </w:r>
    </w:p>
    <w:p>
      <w:pPr>
        <w:numPr>
          <w:ilvl w:val="0"/>
          <w:numId w:val="1020"/>
        </w:numPr>
        <w:pStyle w:val="Compact"/>
      </w:pPr>
      <w:r>
        <w:rPr>
          <w:bCs/>
          <w:b/>
        </w:rPr>
        <w:t xml:space="preserve">Enhance Manufacturing Efficiency &amp; Renewables:</w:t>
      </w:r>
      <w:r>
        <w:t xml:space="preserve"> </w:t>
      </w:r>
      <w:r>
        <w:t xml:space="preserve">Increase renewable energy procurement beyond 30% in manufacturing operations in China, and investigate opportunities for process optimization to reduce overall energy intensity.</w:t>
      </w:r>
    </w:p>
    <w:p>
      <w:pPr>
        <w:numPr>
          <w:ilvl w:val="0"/>
          <w:numId w:val="1020"/>
        </w:numPr>
        <w:pStyle w:val="Compact"/>
      </w:pPr>
      <w:r>
        <w:rPr>
          <w:bCs/>
          <w:b/>
        </w:rPr>
        <w:t xml:space="preserve">Material Innovations:</w:t>
      </w:r>
      <w:r>
        <w:t xml:space="preserve"> </w:t>
      </w:r>
      <w:r>
        <w:t xml:space="preserve">Explore lower-carbon alternatives for key components, especially high-impact materials like circuit boards, and increase recycled content where feasible.</w:t>
      </w:r>
    </w:p>
    <w:p>
      <w:pPr>
        <w:numPr>
          <w:ilvl w:val="0"/>
          <w:numId w:val="1020"/>
        </w:numPr>
        <w:pStyle w:val="Compact"/>
      </w:pPr>
      <w:r>
        <w:rPr>
          <w:bCs/>
          <w:b/>
        </w:rPr>
        <w:t xml:space="preserve">Logistics Optimization:</w:t>
      </w:r>
      <w:r>
        <w:t xml:space="preserve"> </w:t>
      </w:r>
      <w:r>
        <w:t xml:space="preserve">Continuously optimize transport routes and modes to reduce distances and improve load factors for both upstream and downstream logistics.</w:t>
      </w:r>
    </w:p>
    <w:p>
      <w:pPr>
        <w:numPr>
          <w:ilvl w:val="0"/>
          <w:numId w:val="1020"/>
        </w:numPr>
        <w:pStyle w:val="Compact"/>
      </w:pPr>
      <w:r>
        <w:rPr>
          <w:bCs/>
          <w:b/>
        </w:rPr>
        <w:t xml:space="preserve">Strengthen Circularity:</w:t>
      </w:r>
      <w:r>
        <w:t xml:space="preserve"> </w:t>
      </w:r>
      <w:r>
        <w:t xml:space="preserve">Further develop and promote take-back programs and explore innovative recycling technologies to maximize material recovery and minimize waste.</w:t>
      </w:r>
    </w:p>
    <w:p>
      <w:r>
        <w:pict>
          <v:rect style="width:0;height:1.5pt" o:hralign="center" o:hrstd="t" o:hr="t"/>
        </w:pict>
      </w:r>
    </w:p>
    <w:p>
      <w:pPr>
        <w:pStyle w:val="FirstParagraph"/>
      </w:pPr>
      <w:r>
        <w:t xml:space="preserve">Confidential - Internal Use Only | Page 1 of [Total Pages - to be dynamically populated in print]</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gsvegtqidh</dc:title>
  <dc:creator/>
  <dc:description>Detailed Product Carbon Footprint (PCF) analysis for gsvegtqidh, performed by xkdjdunwom for qpyjyoskqx, adhering to GHG Protocol standards and including 2026 LSR update for comprehensive environmental impact assessment.</dc:description>
  <dc:language>en</dc:language>
  <cp:keywords/>
  <dcterms:created xsi:type="dcterms:W3CDTF">2026-07-15T18:49:30Z</dcterms:created>
  <dcterms:modified xsi:type="dcterms:W3CDTF">2026-07-15T18:49:30Z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