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gsjmpxqjui</w:t>
      </w:r>
      <w:r>
        <w:t xml:space="preserve"> </w:t>
      </w:r>
      <w:r>
        <w:t xml:space="preserve">-</w:t>
      </w:r>
      <w:r>
        <w:t xml:space="preserve"> </w:t>
      </w:r>
      <w:r>
        <w:t xml:space="preserve">qqhojklmsh</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gsjmpxqjui"/>
    <w:p>
      <w:pPr>
        <w:pStyle w:val="Heading2"/>
      </w:pPr>
      <w:r>
        <w:t xml:space="preserve">Product: gsjmpxqjui</w:t>
      </w:r>
    </w:p>
    <w:p>
      <w:pPr>
        <w:pStyle w:val="FirstParagraph"/>
      </w:pPr>
      <w:r>
        <w:rPr>
          <w:bCs/>
          <w:b/>
        </w:rPr>
        <w:t xml:space="preserve">Company Name:</w:t>
      </w:r>
      <w:r>
        <w:t xml:space="preserve"> </w:t>
      </w:r>
      <w:r>
        <w:t xml:space="preserve">qqhojklmsh</w:t>
      </w:r>
    </w:p>
    <w:p>
      <w:pPr>
        <w:pStyle w:val="BodyText"/>
      </w:pPr>
      <w:r>
        <w:rPr>
          <w:bCs/>
          <w:b/>
        </w:rPr>
        <w:t xml:space="preserve">Senior Sustainability Consultant:</w:t>
      </w:r>
      <w:r>
        <w:t xml:space="preserve"> </w:t>
      </w:r>
      <w:r>
        <w:t xml:space="preserve">nkesvfjmtr</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depending on real-world conditions and data precision.</w:t>
      </w:r>
    </w:p>
    <w:bookmarkEnd w:id="20"/>
    <w:bookmarkEnd w:id="21"/>
    <w:bookmarkStart w:id="22" w:name="X4a301ff833dd21e4748062a1547a081979a4693"/>
    <w:p>
      <w:pPr>
        <w:pStyle w:val="Heading1"/>
      </w:pPr>
      <w:r>
        <w:t xml:space="preserve">Product Carbon Footprint Analysis for gsjmpxqjui</w:t>
      </w:r>
    </w:p>
    <w:p>
      <w:pPr>
        <w:pStyle w:val="FirstParagraph"/>
      </w:pPr>
      <w:r>
        <w:t xml:space="preserve">Generated Date: June 2,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\'gsjmpxqjui\', manufactured by \'qqhojklmsh\'. Conducted by \'nkesvfjmtr\', a Senior Sustainability Consultant specializing in GHG Protocol, this analysis adheres to the Greenhouse Gas Protocol Product Life Cycle Accounting and Reporting Standard. The study employs a cradle-to-grave approach, encompassing all lifecycle stages from raw material acquisition to end-of-life treatment, to provide a comprehensive understanding of the product\'s greenhouse gas (GHG) emissions. The methodology follows the five-step process: Define Scope, Map Lifecycle, Collect Data, Calculate Emissions, and Review &amp; Report. Crucially, this analysis incorporates the latest GHG Protocol 2026 updates, including the Land Sector and Removals (LSR) Standard for land use and carbon removals, and aims for at least 95% coverage for Scope 3 emissions reporting. Due to the placeholder nature of some input parameters, certain numerical results are illustrative, demonstrating the calculation methodology rather than providing definitive emissions figures.</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The first step in any PCF analysis is to clearly define the scope of the study. This ensures consistency and comparability of results.</w:t>
      </w:r>
    </w:p>
    <w:p>
      <w:pPr>
        <w:numPr>
          <w:ilvl w:val="0"/>
          <w:numId w:val="1001"/>
        </w:numPr>
        <w:pStyle w:val="Compact"/>
      </w:pPr>
      <w:r>
        <w:rPr>
          <w:bCs/>
          <w:b/>
        </w:rPr>
        <w:t xml:space="preserve">Functional Unit:</w:t>
      </w:r>
      <w:r>
        <w:t xml:space="preserve"> </w:t>
      </w:r>
      <w:r>
        <w:t xml:space="preserve">The functional unit for this analysis is 1.0 unit of \'gsjmpxqjui\'. This unit serves as the reference basis for quantifying all environmental inputs and outputs throughout the product\'s lifecycle.</w:t>
      </w:r>
    </w:p>
    <w:p>
      <w:pPr>
        <w:numPr>
          <w:ilvl w:val="0"/>
          <w:numId w:val="1001"/>
        </w:numPr>
        <w:pStyle w:val="Compact"/>
      </w:pPr>
      <w:r>
        <w:rPr>
          <w:bCs/>
          <w:b/>
        </w:rPr>
        <w:t xml:space="preserve">System Boundary:</w:t>
      </w:r>
      <w:r>
        <w:t xml:space="preserve"> </w:t>
      </w:r>
      <w:r>
        <w:t xml:space="preserve">While the primary system boundary explicitly stated is \'factory_gate\', a comprehensive cradle-to-grave analysis has been performed to incorporate all specific parameters provided, including the Use Phase and End-of-Life scenarios. This extends the boundary beyond the factory gate to include downstream activities as per the requirements, providing a full lifecycle assessment.</w:t>
      </w:r>
    </w:p>
    <w:p>
      <w:pPr>
        <w:numPr>
          <w:ilvl w:val="0"/>
          <w:numId w:val="1001"/>
        </w:numPr>
        <w:pStyle w:val="Compact"/>
      </w:pPr>
      <w:r>
        <w:rPr>
          <w:bCs/>
          <w:b/>
        </w:rPr>
        <w:t xml:space="preserve">Geographic Scope:</w:t>
      </w:r>
      <w:r>
        <w:t xml:space="preserve"> </w:t>
      </w:r>
      <w:r>
        <w:t xml:space="preserve">The final production country for \'gsjmpxqjui\' is China. The supply chain focus for upstream activities (material acquisition, pre-processing, and inbound logistics) is Europe-focused, indicating a supply chain predominantly originating from or passing through Europe before reaching the manufacturing facility in China.</w:t>
      </w:r>
    </w:p>
    <w:p>
      <w:pPr>
        <w:numPr>
          <w:ilvl w:val="0"/>
          <w:numId w:val="1001"/>
        </w:numPr>
        <w:pStyle w:val="Compact"/>
      </w:pPr>
      <w:r>
        <w:rPr>
          <w:bCs/>
          <w:b/>
        </w:rPr>
        <w:t xml:space="preserve">Accounting Standard:</w:t>
      </w:r>
      <w:r>
        <w:t xml:space="preserve"> </w:t>
      </w:r>
      <w:r>
        <w:t xml:space="preserve">This PCF analysis strictly adheres to the **GHG Protocol Product Life Cycle Accounting and Reporting Standard**. This standard provides a robust framework for quantifying and reporting GHG emissions associated with products.</w:t>
      </w:r>
    </w:p>
    <w:p>
      <w:pPr>
        <w:numPr>
          <w:ilvl w:val="0"/>
          <w:numId w:val="1001"/>
        </w:numPr>
        <w:pStyle w:val="Compact"/>
      </w:pPr>
      <w:r>
        <w:rPr>
          <w:bCs/>
          <w:b/>
        </w:rPr>
        <w:t xml:space="preserve">Allocation:</w:t>
      </w:r>
      <w:r>
        <w:t xml:space="preserve"> </w:t>
      </w:r>
      <w:r>
        <w:t xml:space="preserve">For multi-output processes, allocation of environmental impacts is based on physical relationships (e.g., mass) where possible, aligning with GHG Protocol guidance to attribute emissions proportionally to the functional unit.</w:t>
      </w:r>
    </w:p>
    <w:p>
      <w:r>
        <w:pict>
          <v:rect style="width:0;height:1.5pt" o:hralign="center" o:hrstd="t" o:hr="t"/>
        </w:pict>
      </w:r>
    </w:p>
    <w:bookmarkEnd w:id="24"/>
    <w:bookmarkStart w:id="26" w:name="map-lifecycle-lci-inventory-stages"/>
    <w:p>
      <w:pPr>
        <w:pStyle w:val="Heading2"/>
      </w:pPr>
      <w:r>
        <w:t xml:space="preserve">2. Map Lifecycle (LCI Inventory Stages)</w:t>
      </w:r>
    </w:p>
    <w:p>
      <w:pPr>
        <w:pStyle w:val="FirstParagraph"/>
      </w:pPr>
      <w:r>
        <w:t xml:space="preserve">The lifecycle of \'gsjmpxqjui\' has been mapped into distinct stages to systematically identify and account for all relevant GHG emissions. This process map facilitates data collection and emission calculation.</w:t>
      </w:r>
    </w:p>
    <w:p>
      <w:pPr>
        <w:pStyle w:val="BodyText"/>
      </w:pPr>
      <w:r>
        <w:t xml:space="preserve">The primary lifecycle stages considered in this cradle-to-grave assessment include:</w:t>
      </w:r>
    </w:p>
    <w:p>
      <w:pPr>
        <w:numPr>
          <w:ilvl w:val="0"/>
          <w:numId w:val="1002"/>
        </w:numPr>
        <w:pStyle w:val="Compact"/>
      </w:pPr>
      <w:r>
        <w:rPr>
          <w:bCs/>
          <w:b/>
        </w:rPr>
        <w:t xml:space="preserve">Materials Acquisition &amp; Pre-processing:</w:t>
      </w:r>
      <w:r>
        <w:t xml:space="preserve"> </w:t>
      </w:r>
      <w:r>
        <w:t xml:space="preserve">This stage covers the extraction of raw materials, their initial processing, and the manufacturing of components as detailed in the Bill of Materials (BOM).</w:t>
      </w:r>
    </w:p>
    <w:p>
      <w:pPr>
        <w:numPr>
          <w:ilvl w:val="0"/>
          <w:numId w:val="1002"/>
        </w:numPr>
        <w:pStyle w:val="Compact"/>
      </w:pPr>
      <w:r>
        <w:rPr>
          <w:bCs/>
          <w:b/>
        </w:rPr>
        <w:t xml:space="preserve">Manufacturing/Production:</w:t>
      </w:r>
      <w:r>
        <w:t xml:space="preserve"> </w:t>
      </w:r>
      <w:r>
        <w:t xml:space="preserve">Encompasses all activities within the \'qqhojklmsh\' facility in China for assembling and producing \'gsjmpxqjui\', including energy consumption and direct emissions.</w:t>
      </w:r>
    </w:p>
    <w:p>
      <w:pPr>
        <w:numPr>
          <w:ilvl w:val="0"/>
          <w:numId w:val="1002"/>
        </w:numPr>
        <w:pStyle w:val="Compact"/>
      </w:pPr>
      <w:r>
        <w:rPr>
          <w:bCs/>
          <w:b/>
        </w:rPr>
        <w:t xml:space="preserve">Transport (Upstream &amp; Downstream):</w:t>
      </w:r>
      <w:r>
        <w:t xml:space="preserve"> </w:t>
      </w:r>
      <w:r>
        <w:t xml:space="preserve">Includes the transportation of raw materials and components to the manufacturing facility (inbound logistics) and the transportation of the finished product to the end-consumer (outbound/last-mile delivery).</w:t>
      </w:r>
    </w:p>
    <w:p>
      <w:pPr>
        <w:numPr>
          <w:ilvl w:val="0"/>
          <w:numId w:val="1002"/>
        </w:numPr>
        <w:pStyle w:val="Compact"/>
      </w:pPr>
      <w:r>
        <w:rPr>
          <w:bCs/>
          <w:b/>
        </w:rPr>
        <w:t xml:space="preserve">Use Phase:</w:t>
      </w:r>
      <w:r>
        <w:t xml:space="preserve"> </w:t>
      </w:r>
      <w:r>
        <w:t xml:space="preserve">Accounts for emissions generated during the product\'s active use by the consumer over its specified lifespan.</w:t>
      </w:r>
    </w:p>
    <w:p>
      <w:pPr>
        <w:numPr>
          <w:ilvl w:val="0"/>
          <w:numId w:val="1002"/>
        </w:numPr>
        <w:pStyle w:val="Compact"/>
      </w:pPr>
      <w:r>
        <w:rPr>
          <w:bCs/>
          <w:b/>
        </w:rPr>
        <w:t xml:space="preserve">End-of-Life (EoL):</w:t>
      </w:r>
      <w:r>
        <w:t xml:space="preserve"> </w:t>
      </w:r>
      <w:r>
        <w:t xml:space="preserve">Addresses the emissions and potential avoided emissions associated with the disposal, recycling, or recovery of the product at the end of its useful life.</w:t>
      </w:r>
    </w:p>
    <w:bookmarkStart w:id="25" w:name="Xc99658ff314d8a3b13bc5da231a4685c28edf78"/>
    <w:p>
      <w:pPr>
        <w:pStyle w:val="Heading3"/>
      </w:pPr>
      <w:r>
        <w:t xml:space="preserve">Detailed Breakdown of Materials and Energy Inputs (Illustrative)</w:t>
      </w:r>
    </w:p>
    <w:p>
      <w:pPr>
        <w:pStyle w:val="FirstParagraph"/>
      </w:pPr>
      <w:r>
        <w:t xml:space="preserve">The provided Detailed Bill of Materials (BOM) is identified as \'kowkstzh\'. In a real-world scenario, \'kowkstzh\' would represent a structured dataset containing specific information for each material item. For illustrative purposes, we present a hypothetical breakdown based on the specified format:</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 kg CO2e/unit)</w:t>
            </w:r>
          </w:p>
        </w:tc>
        <w:tc>
          <w:tcPr/>
          <w:p>
            <w:pPr>
              <w:pStyle w:val="Compact"/>
              <w:jc w:val="left"/>
            </w:pPr>
            <w:r>
              <w:t xml:space="preserve">Total Carbon (Illustrative, kg CO2e)</w:t>
            </w:r>
          </w:p>
        </w:tc>
      </w:tr>
      <w:tr>
        <w:tc>
          <w:tcPr/>
          <w:p>
            <w:pPr>
              <w:pStyle w:val="Compact"/>
              <w:jc w:val="left"/>
            </w:pPr>
            <w:r>
              <w:t xml:space="preserve">M-001</w:t>
            </w:r>
          </w:p>
        </w:tc>
        <w:tc>
          <w:tcPr/>
          <w:p>
            <w:pPr>
              <w:pStyle w:val="Compact"/>
              <w:jc w:val="left"/>
            </w:pPr>
            <w:r>
              <w:t xml:space="preserve">Raw Material A</w:t>
            </w:r>
          </w:p>
        </w:tc>
        <w:tc>
          <w:tcPr/>
          <w:p>
            <w:pPr>
              <w:pStyle w:val="Compact"/>
              <w:jc w:val="left"/>
            </w:pPr>
            <w:r>
              <w:t xml:space="preserve">Metals</w:t>
            </w:r>
          </w:p>
        </w:tc>
        <w:tc>
          <w:tcPr/>
          <w:p>
            <w:pPr>
              <w:pStyle w:val="Compact"/>
              <w:jc w:val="left"/>
            </w:pPr>
            <w:r>
              <w:t xml:space="preserve">Extraction &amp; Refinement</w:t>
            </w:r>
          </w:p>
        </w:tc>
        <w:tc>
          <w:tcPr/>
          <w:p>
            <w:pPr>
              <w:pStyle w:val="Compact"/>
              <w:jc w:val="left"/>
            </w:pPr>
            <w:r>
              <w:t xml:space="preserve">1.5</w:t>
            </w:r>
          </w:p>
        </w:tc>
        <w:tc>
          <w:tcPr/>
          <w:p>
            <w:pPr>
              <w:pStyle w:val="Compact"/>
              <w:jc w:val="left"/>
            </w:pPr>
            <w:r>
              <w:t xml:space="preserve">kg</w:t>
            </w:r>
          </w:p>
        </w:tc>
        <w:tc>
          <w:tcPr/>
          <w:p>
            <w:pPr>
              <w:pStyle w:val="Compact"/>
              <w:jc w:val="left"/>
            </w:pPr>
            <w:r>
              <w:t xml:space="preserve">3.0</w:t>
            </w:r>
          </w:p>
        </w:tc>
        <w:tc>
          <w:tcPr/>
          <w:p>
            <w:pPr>
              <w:pStyle w:val="Compact"/>
              <w:jc w:val="left"/>
            </w:pPr>
            <w:r>
              <w:t xml:space="preserve">4.5</w:t>
            </w:r>
          </w:p>
        </w:tc>
      </w:tr>
      <w:tr>
        <w:tc>
          <w:tcPr/>
          <w:p>
            <w:pPr>
              <w:pStyle w:val="Compact"/>
              <w:jc w:val="left"/>
            </w:pPr>
            <w:r>
              <w:t xml:space="preserve">M-002</w:t>
            </w:r>
          </w:p>
        </w:tc>
        <w:tc>
          <w:tcPr/>
          <w:p>
            <w:pPr>
              <w:pStyle w:val="Compact"/>
              <w:jc w:val="left"/>
            </w:pPr>
            <w:r>
              <w:t xml:space="preserve">Component B</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M-003</w:t>
            </w:r>
          </w:p>
        </w:tc>
        <w:tc>
          <w:tcPr/>
          <w:p>
            <w:pPr>
              <w:pStyle w:val="Compact"/>
              <w:jc w:val="left"/>
            </w:pPr>
            <w:r>
              <w:t xml:space="preserve">Chip C</w:t>
            </w:r>
          </w:p>
        </w:tc>
        <w:tc>
          <w:tcPr/>
          <w:p>
            <w:pPr>
              <w:pStyle w:val="Compact"/>
              <w:jc w:val="left"/>
            </w:pPr>
            <w:r>
              <w:t xml:space="preserve">Silicon</w:t>
            </w:r>
          </w:p>
        </w:tc>
        <w:tc>
          <w:tcPr/>
          <w:p>
            <w:pPr>
              <w:pStyle w:val="Compact"/>
              <w:jc w:val="left"/>
            </w:pPr>
            <w:r>
              <w:t xml:space="preserve">Semiconductor Fab</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2.5</w:t>
            </w:r>
          </w:p>
        </w:tc>
      </w:tr>
      <w:tr>
        <w:tc>
          <w:tcPr/>
          <w:p>
            <w:pPr>
              <w:pStyle w:val="Compact"/>
              <w:jc w:val="left"/>
            </w:pPr>
            <w:r>
              <w:t xml:space="preserve">M-004</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Pulping &amp; Forming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gridSpan w:val="7"/>
          </w:tcPr>
          <w:p>
            <w:pPr>
              <w:pStyle w:val="Compact"/>
              <w:jc w:val="right"/>
            </w:pPr>
            <w:r>
              <w:rPr>
                <w:bCs/>
                <w:b/>
              </w:rPr>
              <w:t xml:space="preserve">Total Illustrative Material Carbon:</w:t>
            </w:r>
          </w:p>
        </w:tc>
        <w:tc>
          <w:tcPr/>
          <w:p>
            <w:pPr>
              <w:pStyle w:val="Compact"/>
              <w:jc w:val="left"/>
            </w:pPr>
            <w:r>
              <w:rPr>
                <w:bCs/>
                <w:b/>
              </w:rPr>
              <w:t xml:space="preserve">9.36</w:t>
            </w:r>
          </w:p>
        </w:tc>
      </w:tr>
    </w:tbl>
    <w:p>
      <w:pPr>
        <w:pStyle w:val="BodyText"/>
      </w:pPr>
      <w:r>
        <w:rPr>
          <w:bCs/>
          <w:b/>
        </w:rPr>
        <w:t xml:space="preserve">Note on \'kowkstzh\':</w:t>
      </w:r>
      <w:r>
        <w:t xml:space="preserve"> </w:t>
      </w:r>
      <w:r>
        <w:t xml:space="preserve">The actual BOM data, identified as \'kowkstzh\', would be parsed to obtain the specific ID, Description, Category, Process, Qty, Unit, Emission Factor, and Total Carbon for each item. The table above uses illustrative values to demonstrate how such data would be presented and aggregated. In a real calculation, the provided \'Emission Factor\' and \'Total Carbon\' for each item in \'kowkstzh\' would be directly used.</w:t>
      </w:r>
    </w:p>
    <w:p>
      <w:pPr>
        <w:pStyle w:val="BodyText"/>
      </w:pPr>
      <w:r>
        <w:rPr>
          <w:bCs/>
          <w:b/>
        </w:rPr>
        <w:t xml:space="preserve">Energy Inputs (Illustrative):</w:t>
      </w:r>
    </w:p>
    <w:p>
      <w:pPr>
        <w:numPr>
          <w:ilvl w:val="0"/>
          <w:numId w:val="1003"/>
        </w:numPr>
        <w:pStyle w:val="Compact"/>
      </w:pPr>
      <w:r>
        <w:rPr>
          <w:bCs/>
          <w:b/>
        </w:rPr>
        <w:t xml:space="preserve">Manufacturing Energy:</w:t>
      </w:r>
      <w:r>
        <w:t xml:space="preserve"> </w:t>
      </w:r>
      <w:r>
        <w:t xml:space="preserve">The energy intensity for production is given as \'niozeihfjz\' kWh/unit. Assuming an illustrative intensity of 15 kWh/unit, and a renewable energy usage of \'hhkdtreqsz\' (e.g., 60%), the remaining 40% would draw from the grid.</w:t>
      </w:r>
    </w:p>
    <w:p>
      <w:r>
        <w:pict>
          <v:rect style="width:0;height:1.5pt" o:hralign="center" o:hrstd="t" o:hr="t"/>
        </w:pict>
      </w:r>
    </w:p>
    <w:bookmarkEnd w:id="25"/>
    <w:bookmarkEnd w:id="26"/>
    <w:bookmarkStart w:id="28" w:name="collect-data"/>
    <w:p>
      <w:pPr>
        <w:pStyle w:val="Heading2"/>
      </w:pPr>
      <w:r>
        <w:t xml:space="preserve">3. Collect Data</w:t>
      </w:r>
    </w:p>
    <w:p>
      <w:pPr>
        <w:pStyle w:val="FirstParagraph"/>
      </w:pPr>
      <w:r>
        <w:t xml:space="preserve">Data collection is fundamental to an accurate PCF. This stage involves gathering both primary and secondary data points across all identified lifecycle stages.</w:t>
      </w:r>
    </w:p>
    <w:p>
      <w:pPr>
        <w:numPr>
          <w:ilvl w:val="0"/>
          <w:numId w:val="1004"/>
        </w:numPr>
        <w:pStyle w:val="Compact"/>
      </w:pPr>
      <w:r>
        <w:rPr>
          <w:bCs/>
          <w:b/>
        </w:rPr>
        <w:t xml:space="preserve">Primary Data:</w:t>
      </w:r>
      <w:r>
        <w:t xml:space="preserve"> </w:t>
      </w:r>
      <w:r>
        <w:t xml:space="preserve">Company-specific data, such as actual energy consumption at the production facility, waste generation, and details of circular programs, are considered primary data.</w:t>
      </w:r>
    </w:p>
    <w:p>
      <w:pPr>
        <w:numPr>
          <w:ilvl w:val="0"/>
          <w:numId w:val="1004"/>
        </w:numPr>
        <w:pStyle w:val="Compact"/>
      </w:pPr>
      <w:r>
        <w:rPr>
          <w:bCs/>
          <w:b/>
        </w:rPr>
        <w:t xml:space="preserve">Secondary Data:</w:t>
      </w:r>
      <w:r>
        <w:t xml:space="preserve"> </w:t>
      </w:r>
      <w:r>
        <w:t xml:space="preserve">For processes where primary data is unavailable or impractical to collect (e.g., raw material extraction at supplier sites), high-quality secondary data from established Life Cycle Inventory (LCI) databases is utilized.</w:t>
      </w:r>
    </w:p>
    <w:bookmarkStart w:id="27" w:name="X8334d7005091ad86462fe1b6cf0ae2e36544f33"/>
    <w:p>
      <w:pPr>
        <w:pStyle w:val="Heading3"/>
      </w:pPr>
      <w:r>
        <w:t xml:space="preserve">Specific Data Points and Their Application:</w:t>
      </w:r>
    </w:p>
    <w:p>
      <w:pPr>
        <w:numPr>
          <w:ilvl w:val="0"/>
          <w:numId w:val="1005"/>
        </w:numPr>
        <w:pStyle w:val="Compact"/>
      </w:pPr>
      <w:r>
        <w:rPr>
          <w:bCs/>
          <w:b/>
        </w:rPr>
        <w:t xml:space="preserve">Detailed Bill of Materials (BOM):</w:t>
      </w:r>
      <w:r>
        <w:t xml:space="preserve"> </w:t>
      </w:r>
      <w:r>
        <w:t xml:space="preserve">The BOM, represented by \'kowkstzh\', is the foundation for calculating emissions from materials acquisition and pre-processing (Scope 3, Category 1 - Purchased Goods and Services). Each item\'s quantity, unit, and specific emission factor (or total carbon directly) are used.</w:t>
      </w:r>
    </w:p>
    <w:p>
      <w:pPr>
        <w:numPr>
          <w:ilvl w:val="0"/>
          <w:numId w:val="1005"/>
        </w:numPr>
        <w:pStyle w:val="Compact"/>
      </w:pPr>
      <w:r>
        <w:rPr>
          <w:bCs/>
          <w:b/>
        </w:rPr>
        <w:t xml:space="preserve">Transport Data:</w:t>
      </w:r>
    </w:p>
    <w:p>
      <w:pPr>
        <w:numPr>
          <w:ilvl w:val="1"/>
          <w:numId w:val="1006"/>
        </w:numPr>
        <w:pStyle w:val="Compact"/>
      </w:pPr>
      <w:r>
        <w:rPr>
          <w:bCs/>
          <w:b/>
        </w:rPr>
        <w:t xml:space="preserve">Transport Mode:</w:t>
      </w:r>
      <w:r>
        <w:t xml:space="preserve"> </w:t>
      </w:r>
      <w:r>
        <w:t xml:space="preserve">\'Select Mode\' (e.g., Ocean Freight, Road, Rail, Air). The choice of mode significantly impacts emission factors.</w:t>
      </w:r>
    </w:p>
    <w:p>
      <w:pPr>
        <w:numPr>
          <w:ilvl w:val="1"/>
          <w:numId w:val="1006"/>
        </w:numPr>
        <w:pStyle w:val="Compact"/>
      </w:pPr>
      <w:r>
        <w:rPr>
          <w:bCs/>
          <w:b/>
        </w:rPr>
        <w:t xml:space="preserve">Transport Distance:</w:t>
      </w:r>
      <w:r>
        <w:t xml:space="preserve"> </w:t>
      </w:r>
      <w:r>
        <w:t xml:space="preserve">\'wstjrlivzs\' (e.g., 5,000 km for inbound, 500 km for outbound). Distances, combined with transport mode, are critical for logistics emissions (Scope 3, Category 4 - Upstream Transportation and Distribution; Category 9 - Downstream Transportation and Distribution).</w:t>
      </w:r>
    </w:p>
    <w:p>
      <w:pPr>
        <w:numPr>
          <w:ilvl w:val="1"/>
          <w:numId w:val="1006"/>
        </w:numPr>
        <w:pStyle w:val="Compact"/>
      </w:pPr>
      <w:r>
        <w:rPr>
          <w:bCs/>
          <w:b/>
        </w:rPr>
        <w:t xml:space="preserve">Last-Mile Delivery Channel:</w:t>
      </w:r>
      <w:r>
        <w:t xml:space="preserve"> </w:t>
      </w:r>
      <w:r>
        <w:t xml:space="preserve">\'Delivery Type\' (e.g., Parcel Service, Dedicated Fleet). This detail refines the accuracy of downstream transport emissions.</w:t>
      </w:r>
    </w:p>
    <w:p>
      <w:pPr>
        <w:numPr>
          <w:ilvl w:val="0"/>
          <w:numId w:val="1005"/>
        </w:numPr>
        <w:pStyle w:val="Compact"/>
      </w:pPr>
      <w:r>
        <w:rPr>
          <w:bCs/>
          <w:b/>
        </w:rPr>
        <w:t xml:space="preserve">Production Energy Data:</w:t>
      </w:r>
    </w:p>
    <w:p>
      <w:pPr>
        <w:numPr>
          <w:ilvl w:val="1"/>
          <w:numId w:val="1007"/>
        </w:numPr>
        <w:pStyle w:val="Compact"/>
      </w:pPr>
      <w:r>
        <w:rPr>
          <w:bCs/>
          <w:b/>
        </w:rPr>
        <w:t xml:space="preserve">Renewable Energy Usage:</w:t>
      </w:r>
      <w:r>
        <w:t xml:space="preserve"> </w:t>
      </w:r>
      <w:r>
        <w:t xml:space="preserve">\'hhkdtreqsz\' (e.g., 60% of total energy from renewable sources). This directly reduces Scope 2 emissions from purchased electricity.</w:t>
      </w:r>
    </w:p>
    <w:p>
      <w:pPr>
        <w:numPr>
          <w:ilvl w:val="1"/>
          <w:numId w:val="1007"/>
        </w:numPr>
        <w:pStyle w:val="Compact"/>
      </w:pPr>
      <w:r>
        <w:rPr>
          <w:bCs/>
          <w:b/>
        </w:rPr>
        <w:t xml:space="preserve">Energy Intensity (kWh/unit):</w:t>
      </w:r>
      <w:r>
        <w:t xml:space="preserve"> </w:t>
      </w:r>
      <w:r>
        <w:t xml:space="preserve">\'niozeihfjz\' (e.g., 15 kWh/unit). This parameter, combined with the energy mix, determines the emissions from the manufacturing process (Scope 2).</w:t>
      </w:r>
    </w:p>
    <w:p>
      <w:pPr>
        <w:numPr>
          <w:ilvl w:val="0"/>
          <w:numId w:val="1005"/>
        </w:numPr>
        <w:pStyle w:val="Compact"/>
      </w:pPr>
      <w:r>
        <w:rPr>
          <w:bCs/>
          <w:b/>
        </w:rPr>
        <w:t xml:space="preserve">Use Phase Data:</w:t>
      </w:r>
    </w:p>
    <w:p>
      <w:pPr>
        <w:numPr>
          <w:ilvl w:val="1"/>
          <w:numId w:val="1008"/>
        </w:numPr>
        <w:pStyle w:val="Compact"/>
      </w:pPr>
      <w:r>
        <w:rPr>
          <w:bCs/>
          <w:b/>
        </w:rPr>
        <w:t xml:space="preserve">Product Lifespan:</w:t>
      </w:r>
      <w:r>
        <w:t xml:space="preserve"> </w:t>
      </w:r>
      <w:r>
        <w:t xml:space="preserve">\'srunnmnows\' (e.g., 5 years). This dictates the duration over which use-phase energy consumption is accounted for.</w:t>
      </w:r>
    </w:p>
    <w:p>
      <w:pPr>
        <w:numPr>
          <w:ilvl w:val="1"/>
          <w:numId w:val="1008"/>
        </w:numPr>
        <w:pStyle w:val="Compact"/>
      </w:pPr>
      <w:r>
        <w:rPr>
          <w:bCs/>
          <w:b/>
        </w:rPr>
        <w:t xml:space="preserve">Energy Consumption in Use:</w:t>
      </w:r>
      <w:r>
        <w:t xml:space="preserve"> </w:t>
      </w:r>
      <w:r>
        <w:t xml:space="preserve">\'djlesldvpw\' (e.g., 20 kWh/year). This directly contributes to Scope 3, Category 11 - Use of Sold Products.</w:t>
      </w:r>
    </w:p>
    <w:p>
      <w:pPr>
        <w:numPr>
          <w:ilvl w:val="0"/>
          <w:numId w:val="1005"/>
        </w:numPr>
        <w:pStyle w:val="Compact"/>
      </w:pPr>
      <w:r>
        <w:rPr>
          <w:bCs/>
          <w:b/>
        </w:rPr>
        <w:t xml:space="preserve">End-of-Life (EoL) Data:</w:t>
      </w:r>
    </w:p>
    <w:p>
      <w:pPr>
        <w:numPr>
          <w:ilvl w:val="1"/>
          <w:numId w:val="1009"/>
        </w:numPr>
        <w:pStyle w:val="Compact"/>
      </w:pPr>
      <w:r>
        <w:rPr>
          <w:bCs/>
          <w:b/>
        </w:rPr>
        <w:t xml:space="preserve">Recyclability Percentage:</w:t>
      </w:r>
      <w:r>
        <w:t xml:space="preserve"> </w:t>
      </w:r>
      <w:r>
        <w:t xml:space="preserve">\'hzhfnsxfkt\' (e.g., 80%). A higher recyclability percentage reduces waste to landfill and can lead to avoided emissions if recycled materials displace virgin materials.</w:t>
      </w:r>
    </w:p>
    <w:p>
      <w:pPr>
        <w:numPr>
          <w:ilvl w:val="1"/>
          <w:numId w:val="1009"/>
        </w:numPr>
        <w:pStyle w:val="Compact"/>
      </w:pPr>
      <w:r>
        <w:rPr>
          <w:bCs/>
          <w:b/>
        </w:rPr>
        <w:t xml:space="preserve">Circular/Take-back Programs:</w:t>
      </w:r>
      <w:r>
        <w:t xml:space="preserve"> </w:t>
      </w:r>
      <w:r>
        <w:t xml:space="preserve">\'tzukipfgsk\' (e.g., \'Yes, active return program\'). Such programs actively manage the product\'s end-of-life, potentially increasing recycling rates and enabling reuse, reducing overall impact. These are considered in Scope 3, Category 12 - End-of-Life Treatment of Sold Products.</w:t>
      </w:r>
    </w:p>
    <w:p>
      <w:r>
        <w:pict>
          <v:rect style="width:0;height:1.5pt" o:hralign="center" o:hrstd="t" o:hr="t"/>
        </w:pict>
      </w:r>
    </w:p>
    <w:bookmarkEnd w:id="27"/>
    <w:bookmarkEnd w:id="28"/>
    <w:bookmarkStart w:id="33" w:name="calculate-emissions"/>
    <w:p>
      <w:pPr>
        <w:pStyle w:val="Heading2"/>
      </w:pPr>
      <w:r>
        <w:t xml:space="preserve">4. Calculate Emissions</w:t>
      </w:r>
    </w:p>
    <w:p>
      <w:pPr>
        <w:pStyle w:val="FirstParagraph"/>
      </w:pPr>
      <w:r>
        <w:t xml:space="preserve">Emissions are calculated using the fundamental formula:</w:t>
      </w:r>
      <w:r>
        <w:t xml:space="preserve"> </w:t>
      </w:r>
      <w:r>
        <w:rPr>
          <w:rStyle w:val="VerbatimChar"/>
        </w:rPr>
        <w:t xml:space="preserve">Activity Data × Emission Factor = CO2e</w:t>
      </w:r>
      <w:r>
        <w:t xml:space="preserve">. This process quantifies the greenhouse gas emissions for each activity throughout the product\'s lifecycle, expressed in carbon dioxide equivalents (CO2e). Industry-standard emission factors from reputable sources such as Ecoinvent and DEFRA are employed.</w:t>
      </w:r>
    </w:p>
    <w:bookmarkStart w:id="29" w:name="categorization-of-emissions-ghg-protocol"/>
    <w:p>
      <w:pPr>
        <w:pStyle w:val="Heading3"/>
      </w:pPr>
      <w:r>
        <w:t xml:space="preserve">Categorization of Emissions (GHG Protocol)</w:t>
      </w:r>
    </w:p>
    <w:p>
      <w:pPr>
        <w:pStyle w:val="FirstParagraph"/>
      </w:pPr>
      <w:r>
        <w:t xml:space="preserve">Emissions are categorized according to the GHG Protocol Corporate Standard and Scope 3 Standard:</w:t>
      </w:r>
    </w:p>
    <w:p>
      <w:pPr>
        <w:pStyle w:val="BodyText"/>
      </w:pPr>
      <w:r>
        <w:rPr>
          <w:bCs/>
          <w:b/>
        </w:rPr>
        <w:t xml:space="preserve">Scope 1 (Direct Emissions):</w:t>
      </w:r>
      <w:r>
        <w:t xml:space="preserve"> </w:t>
      </w:r>
      <w:r>
        <w:t xml:space="preserve">GHG emissions from sources owned or controlled by \'qqhojklmsh\' (e.g., fuel combustion in company vehicles, manufacturing processes if directly owned sources). For \'gsjmpxqjui\', direct manufacturing process emissions (excluding purchased electricity) would fall here.</w:t>
      </w:r>
    </w:p>
    <w:p>
      <w:pPr>
        <w:pStyle w:val="BodyText"/>
      </w:pPr>
      <w:r>
        <w:rPr>
          <w:bCs/>
          <w:b/>
        </w:rPr>
        <w:t xml:space="preserve">Scope 2 (Energy Indirect Emissions):</w:t>
      </w:r>
      <w:r>
        <w:t xml:space="preserve"> </w:t>
      </w:r>
      <w:r>
        <w:t xml:space="preserve">GHG emissions from the generation of purchased electricity, steam, heating, and cooling consumed by \'qqhojklmsh\'. The \'niozeihfjz\' (energy intensity) and \'hhkdtreqsz\' (renewable energy usage) directly influence this scope.</w:t>
      </w:r>
    </w:p>
    <w:p>
      <w:pPr>
        <w:pStyle w:val="BodyText"/>
      </w:pPr>
      <w:r>
        <w:rPr>
          <w:bCs/>
          <w:b/>
        </w:rPr>
        <w:t xml:space="preserve">Scope 3 (Value Chain Emissions):</w:t>
      </w:r>
      <w:r>
        <w:t xml:space="preserve"> </w:t>
      </w:r>
      <w:r>
        <w:t xml:space="preserve">All other indirect emissions that occur in the value chain, both upstream and downstream. This is typically the largest portion of a product\'s carbon footprint.</w:t>
      </w:r>
    </w:p>
    <w:p>
      <w:pPr>
        <w:numPr>
          <w:ilvl w:val="0"/>
          <w:numId w:val="1010"/>
        </w:numPr>
        <w:pStyle w:val="Compact"/>
      </w:pPr>
      <w:r>
        <w:rPr>
          <w:bCs/>
          <w:b/>
        </w:rPr>
        <w:t xml:space="preserve">Upstream Scope 3:</w:t>
      </w:r>
    </w:p>
    <w:p>
      <w:pPr>
        <w:numPr>
          <w:ilvl w:val="1"/>
          <w:numId w:val="1011"/>
        </w:numPr>
        <w:pStyle w:val="Compact"/>
      </w:pPr>
      <w:r>
        <w:rPr>
          <w:bCs/>
          <w:b/>
        </w:rPr>
        <w:t xml:space="preserve">Category 1: Purchased Goods and Services:</w:t>
      </w:r>
      <w:r>
        <w:t xml:space="preserve"> </w:t>
      </w:r>
      <w:r>
        <w:t xml:space="preserve">Emissions related to the production of raw materials and components (\'kowkstzh\' BOM).</w:t>
      </w:r>
    </w:p>
    <w:p>
      <w:pPr>
        <w:numPr>
          <w:ilvl w:val="1"/>
          <w:numId w:val="1011"/>
        </w:numPr>
        <w:pStyle w:val="Compact"/>
      </w:pPr>
      <w:r>
        <w:rPr>
          <w:bCs/>
          <w:b/>
        </w:rPr>
        <w:t xml:space="preserve">Category 4: Upstream Transportation and Distribution:</w:t>
      </w:r>
      <w:r>
        <w:t xml:space="preserve"> </w:t>
      </w:r>
      <w:r>
        <w:t xml:space="preserve">Emissions from transporting raw materials and components from suppliers to \'qqhojklmsh\' (based on \'Select Mode\' and \'wstjrlivzs\').</w:t>
      </w:r>
    </w:p>
    <w:p>
      <w:pPr>
        <w:numPr>
          <w:ilvl w:val="1"/>
          <w:numId w:val="1011"/>
        </w:numPr>
        <w:pStyle w:val="Compact"/>
      </w:pPr>
      <w:r>
        <w:rPr>
          <w:bCs/>
          <w:b/>
        </w:rPr>
        <w:t xml:space="preserve">Category 5: Waste Generated in Operations:</w:t>
      </w:r>
      <w:r>
        <w:t xml:space="preserve"> </w:t>
      </w:r>
      <w:r>
        <w:t xml:space="preserve">Emissions from waste disposal from manufacturing facilities.</w:t>
      </w:r>
    </w:p>
    <w:p>
      <w:pPr>
        <w:numPr>
          <w:ilvl w:val="0"/>
          <w:numId w:val="1010"/>
        </w:numPr>
        <w:pStyle w:val="Compact"/>
      </w:pPr>
      <w:r>
        <w:rPr>
          <w:bCs/>
          <w:b/>
        </w:rPr>
        <w:t xml:space="preserve">Downstream Scope 3:</w:t>
      </w:r>
    </w:p>
    <w:p>
      <w:pPr>
        <w:numPr>
          <w:ilvl w:val="1"/>
          <w:numId w:val="1012"/>
        </w:numPr>
        <w:pStyle w:val="Compact"/>
      </w:pPr>
      <w:r>
        <w:rPr>
          <w:bCs/>
          <w:b/>
        </w:rPr>
        <w:t xml:space="preserve">Category 9: Downstream Transportation and Distribution:</w:t>
      </w:r>
      <w:r>
        <w:t xml:space="preserve"> </w:t>
      </w:r>
      <w:r>
        <w:t xml:space="preserve">Emissions from transporting the finished \'gsjmpxqjui\' to customers (based on \'Select Mode\', \'wstjrlivzs\', and \'Delivery Type\').</w:t>
      </w:r>
    </w:p>
    <w:p>
      <w:pPr>
        <w:numPr>
          <w:ilvl w:val="1"/>
          <w:numId w:val="1012"/>
        </w:numPr>
        <w:pStyle w:val="Compact"/>
      </w:pPr>
      <w:r>
        <w:rPr>
          <w:bCs/>
          <w:b/>
        </w:rPr>
        <w:t xml:space="preserve">Category 11: Use of Sold Products:</w:t>
      </w:r>
      <w:r>
        <w:t xml:space="preserve"> </w:t>
      </w:r>
      <w:r>
        <w:t xml:space="preserve">Emissions from the energy consumed by \'gsjmpxqjui\' during its \'srunnmnows\' lifespan, based on \'djlesldvpw\' (energy consumption in use).</w:t>
      </w:r>
    </w:p>
    <w:p>
      <w:pPr>
        <w:numPr>
          <w:ilvl w:val="1"/>
          <w:numId w:val="1012"/>
        </w:numPr>
        <w:pStyle w:val="Compact"/>
      </w:pPr>
      <w:r>
        <w:rPr>
          <w:bCs/>
          <w:b/>
        </w:rPr>
        <w:t xml:space="preserve">Category 12: End-of-Life Treatment of Sold Products:</w:t>
      </w:r>
      <w:r>
        <w:t xml:space="preserve"> </w:t>
      </w:r>
      <w:r>
        <w:t xml:space="preserve">Emissions associated with the disposal and treatment of \'gsjmpxqjui\' at the end of its life, considering \'hzhfnsxfkt\' (recyclability percentage) and \'tzukipfgsk\' (circular programs).</w:t>
      </w:r>
    </w:p>
    <w:bookmarkEnd w:id="29"/>
    <w:bookmarkStart w:id="30" w:name="application-of-2026-lsr-update"/>
    <w:p>
      <w:pPr>
        <w:pStyle w:val="Heading3"/>
      </w:pPr>
      <w:r>
        <w:t xml:space="preserve">Application of 2026 LSR Update</w:t>
      </w:r>
    </w:p>
    <w:p>
      <w:pPr>
        <w:pStyle w:val="FirstParagraph"/>
      </w:pPr>
      <w:r>
        <w:t xml:space="preserve">The Land Sector and Removals (LSR) Standard v1.0, released on January 30, 2026, and effective January 1, 2027, provides a framework for accounting and reporting land-based GHG emissions and carbon dioxide removals. While the full guidance is expected in Q2 2026, this analysis applies the core requirements. For \'gsjmpxqjui\', any land-use change or land management activities associated with its raw materials (e.g., agricultural products if applicable, or impacts from mining for metals) would be accounted for under the LSR Standard. Carbon removals, if any, through specific project types (e.g., carbon capture technologies applied in the supply chain or land-based removals through verified projects that produce raw materials for \'gsjmpxqjui\'), would also be quantified and reported separately as per the standard. Forest carbon accounting is not included in the current version of the LSR Standard.</w:t>
      </w:r>
    </w:p>
    <w:bookmarkEnd w:id="30"/>
    <w:bookmarkStart w:id="31" w:name="scope-3-compliance-2026-requirements"/>
    <w:p>
      <w:pPr>
        <w:pStyle w:val="Heading3"/>
      </w:pPr>
      <w:r>
        <w:t xml:space="preserve">Scope 3 Compliance (2026 Requirements)</w:t>
      </w:r>
    </w:p>
    <w:p>
      <w:pPr>
        <w:pStyle w:val="FirstParagraph"/>
      </w:pPr>
      <w:r>
        <w:t xml:space="preserve">As per the proposed 2026 revisions to the GHG Protocol Scope 3 Standard, companies are required to quantify and report at least 95% of their total *required* Scope 3 emissions. Exclusions must not exceed 5% and must be quantified, disclosed, and justified. This analysis aims to achieve full coverage by systematically addressing all relevant upstream and downstream categories. Furthermore, the 2026 updates emphasize disaggregation of reported Scope 3 emissions by data type for increased transparency and comparability, and disclosure of third-party verification status.</w:t>
      </w:r>
    </w:p>
    <w:bookmarkEnd w:id="31"/>
    <w:bookmarkStart w:id="32" w:name="Xc771758229d6e777309b8ae410c7be073dd3534"/>
    <w:p>
      <w:pPr>
        <w:pStyle w:val="Heading3"/>
      </w:pPr>
      <w:r>
        <w:t xml:space="preserve">Illustrative Emissions Calculation Summary (Per Functional Unit)</w:t>
      </w:r>
    </w:p>
    <w:p>
      <w:pPr>
        <w:pStyle w:val="FirstParagraph"/>
      </w:pPr>
      <w:r>
        <w:t xml:space="preserve">Given the placeholder nature of the input parameters, the following table provides an illustrative breakdown of emissions. Actual calculations would utilize specific emission factors from databases like Ecoinvent (for materials, energy mixes) and DEFRA (for transport) corresponding to the geographic scope and specific activity data.</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Stage/GHG Scope</w:t>
            </w:r>
          </w:p>
        </w:tc>
        <w:tc>
          <w:tcPr/>
          <w:p>
            <w:pPr>
              <w:pStyle w:val="Compact"/>
              <w:jc w:val="left"/>
            </w:pPr>
            <w:r>
              <w:t xml:space="preserve">Illustrative Emission (kg CO2e / unit)</w:t>
            </w:r>
          </w:p>
        </w:tc>
        <w:tc>
          <w:tcPr/>
          <w:p>
            <w:pPr>
              <w:pStyle w:val="Compact"/>
              <w:jc w:val="left"/>
            </w:pPr>
            <w:r>
              <w:t xml:space="preserve">Notes</w:t>
            </w:r>
          </w:p>
        </w:tc>
      </w:tr>
      <w:tr>
        <w:tc>
          <w:tcPr>
            <w:gridSpan w:val="3"/>
          </w:tcPr>
          <w:p>
            <w:pPr>
              <w:pStyle w:val="Compact"/>
              <w:jc w:val="left"/>
            </w:pPr>
            <w:r>
              <w:rPr>
                <w:bCs/>
                <w:b/>
              </w:rPr>
              <w:t xml:space="preserve">Scope 1 (Direct Emissions)</w:t>
            </w:r>
          </w:p>
        </w:tc>
      </w:tr>
      <w:tr>
        <w:tc>
          <w:tcPr/>
          <w:p>
            <w:pPr>
              <w:pStyle w:val="Compact"/>
              <w:jc w:val="left"/>
            </w:pPr>
            <w:r>
              <w:t xml:space="preserve">Manufacturing Process (e.g., direct fuel combustion)</w:t>
            </w:r>
          </w:p>
        </w:tc>
        <w:tc>
          <w:tcPr/>
          <w:p>
            <w:pPr>
              <w:pStyle w:val="Compact"/>
              <w:jc w:val="left"/>
            </w:pPr>
            <w:r>
              <w:t xml:space="preserve">0.5</w:t>
            </w:r>
          </w:p>
        </w:tc>
        <w:tc>
          <w:tcPr/>
          <w:p>
            <w:pPr>
              <w:pStyle w:val="Compact"/>
              <w:jc w:val="left"/>
            </w:pPr>
            <w:r>
              <w:t xml:space="preserve">Based on onsite fuel use.</w:t>
            </w:r>
          </w:p>
        </w:tc>
      </w:tr>
      <w:tr>
        <w:tc>
          <w:tcPr>
            <w:gridSpan w:val="3"/>
          </w:tcPr>
          <w:p>
            <w:pPr>
              <w:pStyle w:val="Compact"/>
              <w:jc w:val="left"/>
            </w:pPr>
            <w:r>
              <w:rPr>
                <w:bCs/>
                <w:b/>
              </w:rPr>
              <w:t xml:space="preserve">Scope 2 (Energy Indirect Emissions)</w:t>
            </w:r>
          </w:p>
        </w:tc>
      </w:tr>
      <w:tr>
        <w:tc>
          <w:tcPr/>
          <w:p>
            <w:pPr>
              <w:pStyle w:val="Compact"/>
              <w:jc w:val="left"/>
            </w:pPr>
            <w:r>
              <w:t xml:space="preserve">Purchased Electricity for Manufacturing</w:t>
            </w:r>
          </w:p>
        </w:tc>
        <w:tc>
          <w:tcPr/>
          <w:p>
            <w:pPr>
              <w:pStyle w:val="Compact"/>
              <w:jc w:val="left"/>
            </w:pPr>
            <w:r>
              <w:t xml:space="preserve">4.5</w:t>
            </w:r>
          </w:p>
        </w:tc>
        <w:tc>
          <w:tcPr/>
          <w:p>
            <w:pPr>
              <w:pStyle w:val="Compact"/>
              <w:jc w:val="left"/>
            </w:pPr>
            <w:r>
              <w:t xml:space="preserve">Based on \'niozeihfjz\' kWh/unit and \'hhkdtreqsz\' renewable energy usage (e.g., 15 kWh/unit * 40% grid electricity * 0.75 kg CO2e/kWh China grid mix).</w:t>
            </w:r>
          </w:p>
        </w:tc>
      </w:tr>
      <w:tr>
        <w:tc>
          <w:tcPr>
            <w:gridSpan w:val="3"/>
          </w:tcPr>
          <w:p>
            <w:pPr>
              <w:pStyle w:val="Compact"/>
              <w:jc w:val="left"/>
            </w:pPr>
            <w:r>
              <w:rPr>
                <w:bCs/>
                <w:b/>
              </w:rPr>
              <w:t xml:space="preserve">Scope 3 (Value Chain Emissions)</w:t>
            </w:r>
          </w:p>
        </w:tc>
      </w:tr>
      <w:tr>
        <w:tc>
          <w:tcPr/>
          <w:p>
            <w:pPr>
              <w:pStyle w:val="Compact"/>
              <w:jc w:val="left"/>
            </w:pPr>
            <w:r>
              <w:t xml:space="preserve">Materials Acquisition &amp; Pre-processing (Cat 1)</w:t>
            </w:r>
          </w:p>
        </w:tc>
        <w:tc>
          <w:tcPr/>
          <w:p>
            <w:pPr>
              <w:pStyle w:val="Compact"/>
              <w:jc w:val="left"/>
            </w:pPr>
            <w:r>
              <w:t xml:space="preserve">9.36</w:t>
            </w:r>
          </w:p>
        </w:tc>
        <w:tc>
          <w:tcPr/>
          <w:p>
            <w:pPr>
              <w:pStyle w:val="Compact"/>
              <w:jc w:val="left"/>
            </w:pPr>
            <w:r>
              <w:t xml:space="preserve">From BOM (\'kowkstzh\') illustrative sum.</w:t>
            </w:r>
          </w:p>
        </w:tc>
      </w:tr>
      <w:tr>
        <w:tc>
          <w:tcPr/>
          <w:p>
            <w:pPr>
              <w:pStyle w:val="Compact"/>
              <w:jc w:val="left"/>
            </w:pPr>
            <w:r>
              <w:t xml:space="preserve">Upstream Transportation &amp; Distribution (Cat 4)</w:t>
            </w:r>
          </w:p>
        </w:tc>
        <w:tc>
          <w:tcPr/>
          <w:p>
            <w:pPr>
              <w:pStyle w:val="Compact"/>
              <w:jc w:val="left"/>
            </w:pPr>
            <w:r>
              <w:t xml:space="preserve">2.0</w:t>
            </w:r>
          </w:p>
        </w:tc>
        <w:tc>
          <w:tcPr/>
          <w:p>
            <w:pPr>
              <w:pStyle w:val="Compact"/>
              <w:jc w:val="left"/>
            </w:pPr>
            <w:r>
              <w:t xml:space="preserve">Based on \'Select Mode\', \'wstjrlivzs\', and assumed freight factors (e.g., 5000km ocean freight * 0.01 kgCO2e/tkm).</w:t>
            </w:r>
          </w:p>
        </w:tc>
      </w:tr>
      <w:tr>
        <w:tc>
          <w:tcPr/>
          <w:p>
            <w:pPr>
              <w:pStyle w:val="Compact"/>
              <w:jc w:val="left"/>
            </w:pPr>
            <w:r>
              <w:t xml:space="preserve">Waste Generated in Operations (Cat 5)</w:t>
            </w:r>
          </w:p>
        </w:tc>
        <w:tc>
          <w:tcPr/>
          <w:p>
            <w:pPr>
              <w:pStyle w:val="Compact"/>
              <w:jc w:val="left"/>
            </w:pPr>
            <w:r>
              <w:t xml:space="preserve">0.2</w:t>
            </w:r>
          </w:p>
        </w:tc>
        <w:tc>
          <w:tcPr/>
          <w:p>
            <w:pPr>
              <w:pStyle w:val="Compact"/>
              <w:jc w:val="left"/>
            </w:pPr>
            <w:r>
              <w:t xml:space="preserve">Estimated from manufacturing waste.</w:t>
            </w:r>
          </w:p>
        </w:tc>
      </w:tr>
      <w:tr>
        <w:tc>
          <w:tcPr/>
          <w:p>
            <w:pPr>
              <w:pStyle w:val="Compact"/>
              <w:jc w:val="left"/>
            </w:pPr>
            <w:r>
              <w:t xml:space="preserve">Downstream Transportation &amp; Distribution (Cat 9)</w:t>
            </w:r>
          </w:p>
        </w:tc>
        <w:tc>
          <w:tcPr/>
          <w:p>
            <w:pPr>
              <w:pStyle w:val="Compact"/>
              <w:jc w:val="left"/>
            </w:pPr>
            <w:r>
              <w:t xml:space="preserve">0.8</w:t>
            </w:r>
          </w:p>
        </w:tc>
        <w:tc>
          <w:tcPr/>
          <w:p>
            <w:pPr>
              <w:pStyle w:val="Compact"/>
              <w:jc w:val="left"/>
            </w:pPr>
            <w:r>
              <w:t xml:space="preserve">Based on \'Select Mode\', \'wstjrlivzs\', \'Delivery Type\', and assumed freight factors.</w:t>
            </w:r>
          </w:p>
        </w:tc>
      </w:tr>
      <w:tr>
        <w:tc>
          <w:tcPr/>
          <w:p>
            <w:pPr>
              <w:pStyle w:val="Compact"/>
              <w:jc w:val="left"/>
            </w:pPr>
            <w:r>
              <w:t xml:space="preserve">Use of Sold Products (Cat 11)</w:t>
            </w:r>
          </w:p>
        </w:tc>
        <w:tc>
          <w:tcPr/>
          <w:p>
            <w:pPr>
              <w:pStyle w:val="Compact"/>
              <w:jc w:val="left"/>
            </w:pPr>
            <w:r>
              <w:t xml:space="preserve">7.0</w:t>
            </w:r>
          </w:p>
        </w:tc>
        <w:tc>
          <w:tcPr/>
          <w:p>
            <w:pPr>
              <w:pStyle w:val="Compact"/>
              <w:jc w:val="left"/>
            </w:pPr>
            <w:r>
              <w:t xml:space="preserve">Based on \'srunnmnows\' lifespan (e.g., 5 years) and \'djlesldvpw\' energy in use (e.g., 20 kWh/year * 5 years * 0.07 kg CO2e/kWh typical user grid mix).</w:t>
            </w:r>
          </w:p>
        </w:tc>
      </w:tr>
      <w:tr>
        <w:tc>
          <w:tcPr/>
          <w:p>
            <w:pPr>
              <w:pStyle w:val="Compact"/>
              <w:jc w:val="left"/>
            </w:pPr>
            <w:r>
              <w:t xml:space="preserve">End-of-Life Treatment of Sold Products (Cat 12)</w:t>
            </w:r>
          </w:p>
        </w:tc>
        <w:tc>
          <w:tcPr/>
          <w:p>
            <w:pPr>
              <w:pStyle w:val="Compact"/>
              <w:jc w:val="left"/>
            </w:pPr>
            <w:r>
              <w:t xml:space="preserve">1.0</w:t>
            </w:r>
          </w:p>
        </w:tc>
        <w:tc>
          <w:tcPr/>
          <w:p>
            <w:pPr>
              <w:pStyle w:val="Compact"/>
              <w:jc w:val="left"/>
            </w:pPr>
            <w:r>
              <w:t xml:space="preserve">Adjusted by \'hzhfnsxfkt\' recyclability (e.g., 20% to landfill, 80% recycled, with recycling emissions/credits).</w:t>
            </w:r>
          </w:p>
        </w:tc>
      </w:tr>
      <w:tr>
        <w:tc>
          <w:tcPr>
            <w:gridSpan w:val="2"/>
          </w:tcPr>
          <w:p>
            <w:pPr>
              <w:pStyle w:val="Compact"/>
              <w:jc w:val="left"/>
            </w:pPr>
            <w:r>
              <w:rPr>
                <w:bCs/>
                <w:b/>
              </w:rPr>
              <w:t xml:space="preserve">Total Illustrative Product Carbon Footprint (Cradle-to-Grave):</w:t>
            </w:r>
          </w:p>
        </w:tc>
        <w:tc>
          <w:tcPr/>
          <w:p>
            <w:pPr>
              <w:pStyle w:val="Compact"/>
              <w:jc w:val="left"/>
            </w:pPr>
            <w:r>
              <w:rPr>
                <w:bCs/>
                <w:b/>
              </w:rPr>
              <w:t xml:space="preserve">25.36 kg CO2e / unit</w:t>
            </w:r>
          </w:p>
        </w:tc>
      </w:tr>
    </w:tbl>
    <w:p>
      <w:pPr>
        <w:pStyle w:val="BodyText"/>
      </w:pPr>
      <w:r>
        <w:rPr>
          <w:bCs/>
          <w:b/>
        </w:rPr>
        <w:t xml:space="preserve">Note:</w:t>
      </w:r>
      <w:r>
        <w:t xml:space="preserve"> </w:t>
      </w:r>
      <w:r>
        <w:t xml:space="preserve">The values in the table above are purely illustrative examples. A complete PCF analysis would require specific numerical data for each parameter and relevant emission factors for accurate calculation.</w:t>
      </w:r>
    </w:p>
    <w:p>
      <w:r>
        <w:pict>
          <v:rect style="width:0;height:1.5pt" o:hralign="center" o:hrstd="t" o:hr="t"/>
        </w:pict>
      </w:r>
    </w:p>
    <w:bookmarkEnd w:id="32"/>
    <w:bookmarkEnd w:id="33"/>
    <w:bookmarkStart w:id="35" w:name="review-report"/>
    <w:p>
      <w:pPr>
        <w:pStyle w:val="Heading2"/>
      </w:pPr>
      <w:r>
        <w:t xml:space="preserve">5. Review &amp; Report</w:t>
      </w:r>
    </w:p>
    <w:p>
      <w:pPr>
        <w:pStyle w:val="FirstParagraph"/>
      </w:pPr>
      <w:r>
        <w:t xml:space="preserve">The final stage involves reviewing the analysis for accuracy, identifying emission hotspots, and reporting the findings transparently.</w:t>
      </w:r>
    </w:p>
    <w:p>
      <w:pPr>
        <w:numPr>
          <w:ilvl w:val="0"/>
          <w:numId w:val="1013"/>
        </w:numPr>
        <w:pStyle w:val="Compact"/>
      </w:pPr>
      <w:r>
        <w:rPr>
          <w:bCs/>
          <w:b/>
        </w:rPr>
        <w:t xml:space="preserve">Hotspot Analysis:</w:t>
      </w:r>
      <w:r>
        <w:t xml:space="preserve"> </w:t>
      </w:r>
      <w:r>
        <w:t xml:space="preserve">Based on the illustrative data, \'Materials Acquisition &amp; Pre-processing\' and \'Use of Sold Products\' appear to be significant hotspots. These areas would warrant further investigation for reduction strategies. In a real analysis, a detailed breakdown by material type, energy source, and transport leg would pinpoint the most impactful components.</w:t>
      </w:r>
    </w:p>
    <w:p>
      <w:pPr>
        <w:numPr>
          <w:ilvl w:val="0"/>
          <w:numId w:val="1013"/>
        </w:numPr>
        <w:pStyle w:val="Compact"/>
      </w:pPr>
      <w:r>
        <w:rPr>
          <w:bCs/>
          <w:b/>
        </w:rPr>
        <w:t xml:space="preserve">Reliability:</w:t>
      </w:r>
      <w:r>
        <w:t xml:space="preserve"> </w:t>
      </w:r>
      <w:r>
        <w:t xml:space="preserve">The reliability of the PCF is directly dependent on the quality of input data. Utilizing primary data for owned operations and high-quality, geographically relevant secondary data from Ecoinvent and DEFRA enhances reliability. The 2026 GHG Protocol Scope 3 revisions emphasize data quality and transparency.</w:t>
      </w:r>
    </w:p>
    <w:p>
      <w:pPr>
        <w:numPr>
          <w:ilvl w:val="0"/>
          <w:numId w:val="1013"/>
        </w:numPr>
        <w:pStyle w:val="Compact"/>
      </w:pPr>
      <w:r>
        <w:rPr>
          <w:bCs/>
          <w:b/>
        </w:rPr>
        <w:t xml:space="preserve">Recommendations for \'qqhojklmsh\':</w:t>
      </w:r>
    </w:p>
    <w:p>
      <w:pPr>
        <w:numPr>
          <w:ilvl w:val="1"/>
          <w:numId w:val="1014"/>
        </w:numPr>
        <w:pStyle w:val="Compact"/>
      </w:pPr>
      <w:r>
        <w:rPr>
          <w:bCs/>
          <w:b/>
        </w:rPr>
        <w:t xml:space="preserve">Material Optimization:</w:t>
      </w:r>
      <w:r>
        <w:t xml:space="preserve"> </w:t>
      </w:r>
      <w:r>
        <w:t xml:space="preserve">Investigate lower-carbon material alternatives and engage suppliers on their decarbonization efforts for components identified in \'kowkstzh\'.</w:t>
      </w:r>
    </w:p>
    <w:p>
      <w:pPr>
        <w:numPr>
          <w:ilvl w:val="1"/>
          <w:numId w:val="1014"/>
        </w:numPr>
        <w:pStyle w:val="Compact"/>
      </w:pPr>
      <w:r>
        <w:rPr>
          <w:bCs/>
          <w:b/>
        </w:rPr>
        <w:t xml:space="preserve">Energy Efficiency &amp; Renewables:</w:t>
      </w:r>
      <w:r>
        <w:t xml:space="preserve"> </w:t>
      </w:r>
      <w:r>
        <w:t xml:space="preserve">Further increase renewable energy procurement (\'hhkdtreqsz\') and optimize energy intensity (\'niozeihfjz\') in manufacturing facilities in China.</w:t>
      </w:r>
    </w:p>
    <w:p>
      <w:pPr>
        <w:numPr>
          <w:ilvl w:val="1"/>
          <w:numId w:val="1014"/>
        </w:numPr>
        <w:pStyle w:val="Compact"/>
      </w:pPr>
      <w:r>
        <w:rPr>
          <w:bCs/>
          <w:b/>
        </w:rPr>
        <w:t xml:space="preserve">Logistics Efficiency:</w:t>
      </w:r>
      <w:r>
        <w:t xml:space="preserve"> </w:t>
      </w:r>
      <w:r>
        <w:t xml:space="preserve">Optimize transport modes (\'Select Mode\'), distances (\'wstjrlivzs\'), and \'Delivery Type\' to minimize emissions, especially in the Europe-focused supply chain.</w:t>
      </w:r>
    </w:p>
    <w:p>
      <w:pPr>
        <w:numPr>
          <w:ilvl w:val="1"/>
          <w:numId w:val="1014"/>
        </w:numPr>
        <w:pStyle w:val="Compact"/>
      </w:pPr>
      <w:r>
        <w:rPr>
          <w:bCs/>
          <w:b/>
        </w:rPr>
        <w:t xml:space="preserve">Product Design for Longevity &amp; Circularity:</w:t>
      </w:r>
      <w:r>
        <w:t xml:space="preserve"> </w:t>
      </w:r>
      <w:r>
        <w:t xml:space="preserve">Focus on extending product lifespan (\'srunnmnows\') and enhancing recyclability (\'hzhfnsxfkt\'). Strengthen or implement robust circular/take-back programs (\'tzukipfgsk\') to maximize material recovery and reuse.</w:t>
      </w:r>
    </w:p>
    <w:p>
      <w:pPr>
        <w:numPr>
          <w:ilvl w:val="1"/>
          <w:numId w:val="1014"/>
        </w:numPr>
        <w:pStyle w:val="Compact"/>
      </w:pPr>
      <w:r>
        <w:rPr>
          <w:bCs/>
          <w:b/>
        </w:rPr>
        <w:t xml:space="preserve">Use Phase Decarbonization:</w:t>
      </w:r>
      <w:r>
        <w:t xml:space="preserve"> </w:t>
      </w:r>
      <w:r>
        <w:t xml:space="preserve">Explore opportunities to reduce energy consumption during the product\'s use phase (\'djlesldvpw\'), perhaps through more energy-efficient design or guiding user behavior.</w:t>
      </w:r>
    </w:p>
    <w:p>
      <w:pPr>
        <w:numPr>
          <w:ilvl w:val="1"/>
          <w:numId w:val="1014"/>
        </w:numPr>
        <w:pStyle w:val="Compact"/>
      </w:pPr>
      <w:r>
        <w:rPr>
          <w:bCs/>
          <w:b/>
        </w:rPr>
        <w:t xml:space="preserve">Data Collection Improvement:</w:t>
      </w:r>
      <w:r>
        <w:t xml:space="preserve"> </w:t>
      </w:r>
      <w:r>
        <w:t xml:space="preserve">Continuously improve the collection of primary data across the value chain to enhance the accuracy and completeness of future PCF analyses and meet the 95% Scope 3 coverage requirement.</w:t>
      </w:r>
    </w:p>
    <w:p>
      <w:r>
        <w:pict>
          <v:rect style="width:0;height:1.5pt" o:hralign="center" o:hrstd="t" o:hr="t"/>
        </w:pict>
      </w:r>
    </w:p>
    <w:p>
      <w:pPr>
        <w:pStyle w:val="FirstParagraph"/>
      </w:pPr>
      <w:r>
        <w:t xml:space="preserve">Confidential - Internal Use Only | Page</w:t>
      </w:r>
      <w:r>
        <w:t xml:space="preserve"> </w:t>
      </w:r>
      <w:bookmarkStart w:id="34" w:name="page-number"/>
      <w:bookmarkEnd w:id="34"/>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gsjmpxqjui - qqhojklmsh</dc:title>
  <dc:creator/>
  <dc:description>Detailed Product Carbon Footprint (PCF) analysis report for product gsjmpxqjui, conducted for qqhojklmsh by Senior Sustainability Consultant nkesvfjmtr, adhering to GHG Protocol standards and 2026 updates.</dc:description>
  <dc:language>en</dc:language>
  <cp:keywords/>
  <dcterms:created xsi:type="dcterms:W3CDTF">2026-08-29T10:33:33Z</dcterms:created>
  <dcterms:modified xsi:type="dcterms:W3CDTF">2026-08-29T10:33:33Z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