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gqyftwmhnw</w:t>
      </w:r>
    </w:p>
    <w:p>
      <w:pPr>
        <w:pStyle w:val="FirstParagraph"/>
      </w:pPr>
      <w:r>
        <w:t xml:space="preserve">carboncalcpcf.com</w:t>
      </w:r>
    </w:p>
    <w:bookmarkStart w:id="20" w:name="product-carbon-footprint-analysis"/>
    <w:p>
      <w:pPr>
        <w:pStyle w:val="Heading1"/>
      </w:pPr>
      <w:r>
        <w:t xml:space="preserve">Product Carbon Footprint Analysis</w:t>
      </w:r>
    </w:p>
    <w:bookmarkEnd w:id="20"/>
    <w:bookmarkStart w:id="21" w:name="for-gqyftwmhnw"/>
    <w:p>
      <w:pPr>
        <w:pStyle w:val="Heading1"/>
      </w:pPr>
      <w:r>
        <w:t xml:space="preserve">for gqyftwmhnw</w:t>
      </w:r>
    </w:p>
    <w:p>
      <w:pPr>
        <w:pStyle w:val="FirstParagraph"/>
      </w:pPr>
      <w:r>
        <w:rPr>
          <w:bCs/>
          <w:b/>
        </w:rPr>
        <w:t xml:space="preserve">Company Name:</w:t>
      </w:r>
      <w:r>
        <w:t xml:space="preserve"> </w:t>
      </w:r>
      <w:r>
        <w:t xml:space="preserve">wlgeersiso</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yskueoviop</w:t>
      </w:r>
    </w:p>
    <w:p>
      <w:pPr>
        <w:pStyle w:val="BodyText"/>
      </w:pPr>
      <w:r>
        <w:t xml:space="preserve">This report is generated based on available data and industry standards. While efforts have been made to ensure accuracy, specific conditions and real-time data fluctuations may impact actual emissions.</w:t>
      </w:r>
    </w:p>
    <w:bookmarkEnd w:id="21"/>
    <w:bookmarkStart w:id="22" w:name="Xc6ef623aacf2ca8943a9e8c6efca9e967fe737c"/>
    <w:p>
      <w:pPr>
        <w:pStyle w:val="Heading1"/>
      </w:pPr>
      <w:r>
        <w:t xml:space="preserve">Product Carbon Footprint Analysis for gqyftwmhnw</w:t>
      </w:r>
    </w:p>
    <w:p>
      <w:pPr>
        <w:pStyle w:val="FirstParagraph"/>
      </w:pPr>
      <w:r>
        <w:t xml:space="preserve">Generated Date: June 2, 2026</w:t>
      </w:r>
    </w:p>
    <w:p>
      <w:r>
        <w:pict>
          <v:rect style="width:0;height:1.5pt" o:hralign="center" o:hrstd="t" o:hr="t"/>
        </w:pict>
      </w:r>
    </w:p>
    <w:bookmarkEnd w:id="22"/>
    <w:bookmarkStart w:id="23" w:name="executive-summary"/>
    <w:p>
      <w:pPr>
        <w:pStyle w:val="Heading2"/>
      </w:pPr>
      <w:r>
        <w:t xml:space="preserve">Executive Summary</w:t>
      </w:r>
    </w:p>
    <w:p>
      <w:pPr>
        <w:pStyle w:val="FirstParagraph"/>
      </w:pPr>
      <w:r>
        <w:t xml:space="preserve">This report provides a high-detail Product Carbon Footprint (PCF) analysis for the product</w:t>
      </w:r>
      <w:r>
        <w:t xml:space="preserve"> </w:t>
      </w:r>
      <w:r>
        <w:t xml:space="preserve">gqyftwmhnw</w:t>
      </w:r>
      <w:r>
        <w:t xml:space="preserve"> </w:t>
      </w:r>
      <w:r>
        <w:t xml:space="preserve">manufactured by</w:t>
      </w:r>
      <w:r>
        <w:t xml:space="preserve"> </w:t>
      </w:r>
      <w:r>
        <w:t xml:space="preserve">wlgeersiso</w:t>
      </w:r>
      <w:r>
        <w:t xml:space="preserve">. Acting as Senior Sustainability Consultant</w:t>
      </w:r>
      <w:r>
        <w:t xml:space="preserve"> </w:t>
      </w:r>
      <w:r>
        <w:t xml:space="preserve">yskueoviop</w:t>
      </w:r>
      <w:r>
        <w:t xml:space="preserve">, this analysis adheres strictly to the GHG Protocol standards, incorporating the latest 2026 Land Sector and Removals (LSR) update and ensuring robust Scope 3 compliance. The objective is to quantify the greenhouse gas (GHG) emissions associated with the product across its lifecycle, from raw material extraction to end-of-life, providing insights into emission hotspots and contributing to informed sustainability strategies. The total carbon footprint for</w:t>
      </w:r>
      <w:r>
        <w:t xml:space="preserve"> </w:t>
      </w:r>
      <w:r>
        <w:t xml:space="preserve">1.0 unit</w:t>
      </w:r>
      <w:r>
        <w:t xml:space="preserve"> </w:t>
      </w:r>
      <w:r>
        <w:t xml:space="preserve">of</w:t>
      </w:r>
      <w:r>
        <w:t xml:space="preserve"> </w:t>
      </w:r>
      <w:r>
        <w:t xml:space="preserve">gqyftwmhnw</w:t>
      </w:r>
      <w:r>
        <w:t xml:space="preserve"> </w:t>
      </w:r>
      <w:r>
        <w:t xml:space="preserve">is calculated and categorized into Scope 1, 2, and 3 emissions, emphasizing upstream and downstream value chain impacts.</w:t>
      </w:r>
    </w:p>
    <w:p>
      <w:r>
        <w:pict>
          <v:rect style="width:0;height:1.5pt" o:hralign="center" o:hrstd="t" o:hr="t"/>
        </w:pict>
      </w:r>
    </w:p>
    <w:bookmarkEnd w:id="23"/>
    <w:bookmarkStart w:id="31" w:name="methodology"/>
    <w:p>
      <w:pPr>
        <w:pStyle w:val="Heading2"/>
      </w:pPr>
      <w:r>
        <w:t xml:space="preserve">1. Methodology</w:t>
      </w:r>
    </w:p>
    <w:p>
      <w:pPr>
        <w:pStyle w:val="FirstParagraph"/>
      </w:pPr>
      <w:r>
        <w:t xml:space="preserve">The Product Carbon Footprint (PCF) analysis for</w:t>
      </w:r>
      <w:r>
        <w:t xml:space="preserve"> </w:t>
      </w:r>
      <w:r>
        <w:t xml:space="preserve">gqyftwmhnw</w:t>
      </w:r>
      <w:r>
        <w:t xml:space="preserve"> </w:t>
      </w:r>
      <w:r>
        <w:t xml:space="preserve">follows the five-step methodology as prescribed by the GHG Protocol Product Standard, integrating the latest 2026 Land Sector and Removals (LSR) Standard. The calculation of emissions generally adheres to the formula: Activity Data × Emission Factor = CO2e.</w:t>
      </w:r>
    </w:p>
    <w:bookmarkStart w:id="24" w:name="step-1-define-scope"/>
    <w:p>
      <w:pPr>
        <w:pStyle w:val="Heading3"/>
      </w:pPr>
      <w:r>
        <w:t xml:space="preserve">1.1. Step 1: Define Scope</w:t>
      </w:r>
    </w:p>
    <w:p>
      <w:pPr>
        <w:numPr>
          <w:ilvl w:val="0"/>
          <w:numId w:val="1001"/>
        </w:numPr>
        <w:pStyle w:val="Compact"/>
      </w:pPr>
      <w:r>
        <w:rPr>
          <w:bCs/>
          <w:b/>
        </w:rPr>
        <w:t xml:space="preserve">Functional Unit:</w:t>
      </w:r>
      <w:r>
        <w:t xml:space="preserve"> </w:t>
      </w:r>
      <w:r>
        <w:t xml:space="preserve">The reference flow for this analysis is</w:t>
      </w:r>
      <w:r>
        <w:t xml:space="preserve"> </w:t>
      </w:r>
      <w:r>
        <w:t xml:space="preserve">1.0 unit</w:t>
      </w:r>
      <w:r>
        <w:t xml:space="preserve"> </w:t>
      </w:r>
      <w:r>
        <w:t xml:space="preserve">of gqyftwmhnw. This unit provides a basis for quantifying inputs and outputs throughout the product\'s life cycle.</w:t>
      </w:r>
    </w:p>
    <w:p>
      <w:pPr>
        <w:numPr>
          <w:ilvl w:val="0"/>
          <w:numId w:val="1001"/>
        </w:numPr>
        <w:pStyle w:val="Compact"/>
      </w:pPr>
      <w:r>
        <w:rPr>
          <w:bCs/>
          <w:b/>
        </w:rPr>
        <w:t xml:space="preserve">System Boundary:</w:t>
      </w:r>
      <w:r>
        <w:t xml:space="preserve"> </w:t>
      </w:r>
      <w:r>
        <w:t xml:space="preserve">The analysis adopts a</w:t>
      </w:r>
      <w:r>
        <w:t xml:space="preserve"> </w:t>
      </w:r>
      <w:r>
        <w:t xml:space="preserve">factory_gate</w:t>
      </w:r>
      <w:r>
        <w:t xml:space="preserve"> </w:t>
      </w:r>
      <w:r>
        <w:t xml:space="preserve">system boundary, meaning all emissions up to the point the product leaves the manufacturing facility are included, plus explicitly considered downstream phases such as transportation to customer, use phase, and end-of-life. Emissions from raw material extraction, processing, manufacturing, transport, use, and end-of-life are considered.</w:t>
      </w:r>
    </w:p>
    <w:p>
      <w:pPr>
        <w:numPr>
          <w:ilvl w:val="0"/>
          <w:numId w:val="1001"/>
        </w:numPr>
        <w:pStyle w:val="Compact"/>
      </w:pPr>
      <w:r>
        <w:rPr>
          <w:bCs/>
          <w:b/>
        </w:rPr>
        <w:t xml:space="preserve">Geographic Scope:</w:t>
      </w:r>
      <w:r>
        <w:t xml:space="preserve"> </w:t>
      </w:r>
      <w:r>
        <w:t xml:space="preserve">The final production country is</w:t>
      </w:r>
      <w:r>
        <w:t xml:space="preserve"> </w:t>
      </w:r>
      <w:r>
        <w:t xml:space="preserve">China</w:t>
      </w:r>
      <w:r>
        <w:t xml:space="preserve">, with a supply chain focus primarily on</w:t>
      </w:r>
      <w:r>
        <w:t xml:space="preserve"> </w:t>
      </w:r>
      <w:r>
        <w:t xml:space="preserve">Europe Focused</w:t>
      </w:r>
      <w:r>
        <w:t xml:space="preserve"> </w:t>
      </w:r>
      <w:r>
        <w:t xml:space="preserve">for upstream components and global distribution.</w:t>
      </w:r>
    </w:p>
    <w:p>
      <w:pPr>
        <w:numPr>
          <w:ilvl w:val="0"/>
          <w:numId w:val="1001"/>
        </w:numPr>
        <w:pStyle w:val="Compact"/>
      </w:pPr>
      <w:r>
        <w:rPr>
          <w:bCs/>
          <w:b/>
        </w:rPr>
        <w:t xml:space="preserve">Accounting Standard:</w:t>
      </w:r>
      <w:r>
        <w:t xml:space="preserve"> </w:t>
      </w:r>
      <w:r>
        <w:t xml:space="preserve">This PCF analysis is conducted in full compliance with the</w:t>
      </w:r>
      <w:r>
        <w:t xml:space="preserve"> </w:t>
      </w:r>
      <w:r>
        <w:t xml:space="preserve">GHG Protocol</w:t>
      </w:r>
      <w:r>
        <w:t xml:space="preserve"> </w:t>
      </w:r>
      <w:r>
        <w:t xml:space="preserve">Product Standard. Emissions are categorized into Scope 1 (direct emissions from owned or controlled sources), Scope 2 (indirect emissions from purchased energy), and Scope 3 (all other indirect emissions in the value chain).</w:t>
      </w:r>
    </w:p>
    <w:p>
      <w:pPr>
        <w:numPr>
          <w:ilvl w:val="0"/>
          <w:numId w:val="1001"/>
        </w:numPr>
        <w:pStyle w:val="Compact"/>
      </w:pPr>
      <w:r>
        <w:rPr>
          <w:bCs/>
          <w:b/>
        </w:rPr>
        <w:t xml:space="preserve">Allocation:</w:t>
      </w:r>
      <w:r>
        <w:t xml:space="preserve"> </w:t>
      </w:r>
      <w:r>
        <w:t xml:space="preserve">Where co-products or by-products exist, allocation methods consistent with GHG Protocol guidance are applied to ensure emissions are appropriately attributed to the product under analysis.</w:t>
      </w:r>
    </w:p>
    <w:bookmarkEnd w:id="24"/>
    <w:bookmarkStart w:id="30" w:name="X5cc2071beb10786c03a06ab29c82b09e99e511b"/>
    <w:p>
      <w:pPr>
        <w:pStyle w:val="Heading3"/>
      </w:pPr>
      <w:r>
        <w:t xml:space="preserve">1.2. Step 2: Map Lifecycle (LCI Inventory Stages) &amp; Step 3: Collect Data (Primary/Secondary Data Points)</w:t>
      </w:r>
    </w:p>
    <w:p>
      <w:pPr>
        <w:pStyle w:val="FirstParagraph"/>
      </w:pPr>
      <w:r>
        <w:t xml:space="preserve">This section details the inventory data collected and the mapping of the product\'s lifecycle stages, covering raw material acquisition, manufacturing, transportation, use, and end-of-life. Where specific data points were provided as parameters, these have been directly incorporated. For other areas, industry-average emission factors are utilized, generally sourced from databases like Ecoinvent or DEFRA (or similar reputable sources for illustrative purposes) for accuracy and consistency.</w:t>
      </w:r>
    </w:p>
    <w:bookmarkStart w:id="25" w:name="X87e1e16db0f38e6513efd51d4e9d27f21a456e4"/>
    <w:p>
      <w:pPr>
        <w:pStyle w:val="Heading4"/>
      </w:pPr>
      <w:r>
        <w:t xml:space="preserve">1.2.1. Material Acquisition &amp; Processing (Upstream Scope 3 Emissions)</w:t>
      </w:r>
    </w:p>
    <w:p>
      <w:pPr>
        <w:pStyle w:val="FirstParagraph"/>
      </w:pPr>
      <w:r>
        <w:t xml:space="preserve">The Detailed Bill of Materials (BOM) for</w:t>
      </w:r>
      <w:r>
        <w:t xml:space="preserve"> </w:t>
      </w:r>
      <w:r>
        <w:t xml:space="preserve">ofplloso</w:t>
      </w:r>
      <w:r>
        <w:t xml:space="preserve">, representing the product</w:t>
      </w:r>
      <w:r>
        <w:t xml:space="preserve"> </w:t>
      </w:r>
      <w:r>
        <w:t xml:space="preserve">gqyftwmhnw</w:t>
      </w:r>
      <w:r>
        <w:t xml:space="preserve">, is critical for calculating the material-related emissions. The provided BOM structure includes pre-calculated "Total Carbon" values, indicating a cradle-to-gate impact for each material component. The specific values are used directly for the material impact calculation. We assume these "Total Carbon" values include emissions from raw material extraction and initial processing. These fall under Scope 3, Category 1 (Purchased goods and services).</w:t>
      </w:r>
    </w:p>
    <w:p>
      <w:pPr>
        <w:pStyle w:val="BodyText"/>
      </w:pPr>
      <w:r>
        <w:rPr>
          <w:bCs/>
          <w:b/>
        </w:rPr>
        <w:t xml:space="preserve">Detailed Bill of Materials (Illustrative Data based on \'ofplloso\' parameter):</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7.0 (illustrative for primary aluminum)</w:t>
            </w:r>
          </w:p>
        </w:tc>
        <w:tc>
          <w:tcPr/>
          <w:p>
            <w:pPr>
              <w:pStyle w:val="Compact"/>
              <w:jc w:val="left"/>
            </w:pPr>
            <w:r>
              <w:t xml:space="preserve">3.50</w:t>
            </w:r>
          </w:p>
        </w:tc>
      </w:tr>
      <w:tr>
        <w:tc>
          <w:tcPr/>
          <w:p>
            <w:pPr>
              <w:pStyle w:val="Compact"/>
              <w:jc w:val="left"/>
            </w:pPr>
            <w:r>
              <w:t xml:space="preserve">2</w:t>
            </w:r>
          </w:p>
        </w:tc>
        <w:tc>
          <w:tcPr/>
          <w:p>
            <w:pPr>
              <w:pStyle w:val="Compact"/>
              <w:jc w:val="left"/>
            </w:pPr>
            <w:r>
              <w:t xml:space="preserve">PCB (Printed 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5.0 (illustrative for PCB assembly)</w:t>
            </w:r>
          </w:p>
        </w:tc>
        <w:tc>
          <w:tcPr/>
          <w:p>
            <w:pPr>
              <w:pStyle w:val="Compact"/>
              <w:jc w:val="left"/>
            </w:pPr>
            <w:r>
              <w:t xml:space="preserve">5.00</w:t>
            </w:r>
          </w:p>
        </w:tc>
      </w:tr>
      <w:tr>
        <w:tc>
          <w:tcPr/>
          <w:p>
            <w:pPr>
              <w:pStyle w:val="Compact"/>
              <w:jc w:val="left"/>
            </w:pPr>
            <w:r>
              <w:t xml:space="preserve">3</w:t>
            </w:r>
          </w:p>
        </w:tc>
        <w:tc>
          <w:tcPr/>
          <w:p>
            <w:pPr>
              <w:pStyle w:val="Compact"/>
              <w:jc w:val="left"/>
            </w:pPr>
            <w:r>
              <w:t xml:space="preserve">Integrated Circuits</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100.0 (illustrative for IC production)</w:t>
            </w:r>
          </w:p>
        </w:tc>
        <w:tc>
          <w:tcPr/>
          <w:p>
            <w:pPr>
              <w:pStyle w:val="Compact"/>
              <w:jc w:val="left"/>
            </w:pPr>
            <w:r>
              <w:t xml:space="preserve">1.00</w:t>
            </w:r>
          </w:p>
        </w:tc>
      </w:tr>
      <w:tr>
        <w:tc>
          <w:tcPr/>
          <w:p>
            <w:pPr>
              <w:pStyle w:val="Compact"/>
              <w:jc w:val="left"/>
            </w:pPr>
            <w:r>
              <w:t xml:space="preserve">4</w:t>
            </w:r>
          </w:p>
        </w:tc>
        <w:tc>
          <w:tcPr/>
          <w:p>
            <w:pPr>
              <w:pStyle w:val="Compact"/>
              <w:jc w:val="left"/>
            </w:pPr>
            <w:r>
              <w:t xml:space="preserve">Plastic Components</w:t>
            </w:r>
          </w:p>
        </w:tc>
        <w:tc>
          <w:tcPr/>
          <w:p>
            <w:pPr>
              <w:pStyle w:val="Compact"/>
              <w:jc w:val="left"/>
            </w:pPr>
            <w:r>
              <w:t xml:space="preserve">Plastic</w:t>
            </w:r>
          </w:p>
        </w:tc>
        <w:tc>
          <w:tcPr/>
          <w:p>
            <w:pPr>
              <w:pStyle w:val="Compact"/>
              <w:jc w:val="left"/>
            </w:pPr>
            <w:r>
              <w:t xml:space="preserve">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 (illustrative for general plastics)</w:t>
            </w:r>
          </w:p>
        </w:tc>
        <w:tc>
          <w:tcPr/>
          <w:p>
            <w:pPr>
              <w:pStyle w:val="Compact"/>
              <w:jc w:val="left"/>
            </w:pPr>
            <w:r>
              <w:t xml:space="preserve">0.60</w:t>
            </w:r>
          </w:p>
        </w:tc>
      </w:tr>
      <w:tr>
        <w:tc>
          <w:tcPr/>
          <w:p>
            <w:pPr>
              <w:pStyle w:val="Compact"/>
              <w:jc w:val="left"/>
            </w:pPr>
            <w:r>
              <w:t xml:space="preserve">5</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 (illustrative for copper production)</w:t>
            </w:r>
          </w:p>
        </w:tc>
        <w:tc>
          <w:tcPr/>
          <w:p>
            <w:pPr>
              <w:pStyle w:val="Compact"/>
              <w:jc w:val="left"/>
            </w:pPr>
            <w:r>
              <w:t xml:space="preserve">0.40</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10.50 kgCO2e</w:t>
            </w:r>
          </w:p>
        </w:tc>
      </w:tr>
    </w:tbl>
    <w:p>
      <w:pPr>
        <w:pStyle w:val="BodyText"/>
      </w:pPr>
      <w:r>
        <w:rPr>
          <w:iCs/>
          <w:i/>
        </w:rPr>
        <w:t xml:space="preserve">Note: The "Emission Factor" and "Total Carbon" values in the table above are illustrative, assuming the format provided by the user for \'ofplloso\'. Actual calculations would use precise, source-specific emission factors for each material and process. For example, steel production can range from 0.357 to 1.987 tonnes CO2/tonne depending on the process (EAF vs. BF-BOF). Electronics manufacturing also has specific emission factors.</w:t>
      </w:r>
    </w:p>
    <w:bookmarkEnd w:id="25"/>
    <w:bookmarkStart w:id="26" w:name="production-phase-scope-1-2-emissions"/>
    <w:p>
      <w:pPr>
        <w:pStyle w:val="Heading4"/>
      </w:pPr>
      <w:r>
        <w:t xml:space="preserve">1.2.2. Production Phase (Scope 1 &amp; 2 Emissions)</w:t>
      </w:r>
    </w:p>
    <w:p>
      <w:pPr>
        <w:pStyle w:val="FirstParagraph"/>
      </w:pPr>
      <w:r>
        <w:t xml:space="preserve">The manufacturing of</w:t>
      </w:r>
      <w:r>
        <w:t xml:space="preserve"> </w:t>
      </w:r>
      <w:r>
        <w:t xml:space="preserve">gqyftwmhnw</w:t>
      </w:r>
      <w:r>
        <w:t xml:space="preserve"> </w:t>
      </w:r>
      <w:r>
        <w:t xml:space="preserve">occurs in China. Emissions during this phase are split between direct emissions (Scope 1) and indirect emissions from purchased electricity (Scope 2).</w:t>
      </w:r>
    </w:p>
    <w:p>
      <w:pPr>
        <w:numPr>
          <w:ilvl w:val="0"/>
          <w:numId w:val="1002"/>
        </w:numPr>
        <w:pStyle w:val="Compact"/>
      </w:pPr>
      <w:r>
        <w:rPr>
          <w:bCs/>
          <w:b/>
        </w:rPr>
        <w:t xml:space="preserve">Energy Intensity:</w:t>
      </w:r>
      <w:r>
        <w:t xml:space="preserve"> </w:t>
      </w:r>
      <w:r>
        <w:t xml:space="preserve">ksevsokkfh</w:t>
      </w:r>
      <w:r>
        <w:t xml:space="preserve"> </w:t>
      </w:r>
      <w:r>
        <w:t xml:space="preserve">= 5.0 kWh/unit.</w:t>
      </w:r>
    </w:p>
    <w:p>
      <w:pPr>
        <w:numPr>
          <w:ilvl w:val="0"/>
          <w:numId w:val="1002"/>
        </w:numPr>
        <w:pStyle w:val="Compact"/>
      </w:pPr>
      <w:r>
        <w:rPr>
          <w:bCs/>
          <w:b/>
        </w:rPr>
        <w:t xml:space="preserve">Renewable Energy Usage:</w:t>
      </w:r>
      <w:r>
        <w:t xml:space="preserve"> </w:t>
      </w:r>
      <w:r>
        <w:t xml:space="preserve">gwtgnjiptt</w:t>
      </w:r>
      <w:r>
        <w:t xml:space="preserve"> </w:t>
      </w:r>
      <w:r>
        <w:t xml:space="preserve">= 70%.</w:t>
      </w:r>
    </w:p>
    <w:p>
      <w:pPr>
        <w:numPr>
          <w:ilvl w:val="0"/>
          <w:numId w:val="1002"/>
        </w:numPr>
        <w:pStyle w:val="Compact"/>
      </w:pPr>
      <w:r>
        <w:rPr>
          <w:bCs/>
          <w:b/>
        </w:rPr>
        <w:t xml:space="preserve">Non-Renewable Energy:</w:t>
      </w:r>
      <w:r>
        <w:t xml:space="preserve"> </w:t>
      </w:r>
      <w:r>
        <w:t xml:space="preserve">30% (1.5 kWh/unit).</w:t>
      </w:r>
    </w:p>
    <w:p>
      <w:pPr>
        <w:numPr>
          <w:ilvl w:val="0"/>
          <w:numId w:val="1002"/>
        </w:numPr>
        <w:pStyle w:val="Compact"/>
      </w:pPr>
      <w:r>
        <w:rPr>
          <w:bCs/>
          <w:b/>
        </w:rPr>
        <w:t xml:space="preserve">China Grid Emission Factor:</w:t>
      </w:r>
      <w:r>
        <w:t xml:space="preserve"> </w:t>
      </w:r>
      <w:r>
        <w:t xml:space="preserve">An illustrative average for China\'s grid electricity is approximately 0.556 kg CO2e/kWh to 0.6835 kg CO2e/kWh. We will use 0.6 kg CO2e/kWh for calculation.</w:t>
      </w:r>
    </w:p>
    <w:p>
      <w:pPr>
        <w:pStyle w:val="FirstParagraph"/>
      </w:pPr>
      <w:r>
        <w:rPr>
          <w:bCs/>
          <w:b/>
        </w:rPr>
        <w:t xml:space="preserve">Calculation for Production Energy Emissions:</w:t>
      </w:r>
    </w:p>
    <w:p>
      <w:pPr>
        <w:numPr>
          <w:ilvl w:val="0"/>
          <w:numId w:val="1003"/>
        </w:numPr>
        <w:pStyle w:val="Compact"/>
      </w:pPr>
      <w:r>
        <w:t xml:space="preserve">Non-Renewable Energy Consumption: 5.0 kWh/unit * (1 - 0.70) = 1.5 kWh/unit</w:t>
      </w:r>
    </w:p>
    <w:p>
      <w:pPr>
        <w:numPr>
          <w:ilvl w:val="0"/>
          <w:numId w:val="1003"/>
        </w:numPr>
        <w:pStyle w:val="Compact"/>
      </w:pPr>
      <w:r>
        <w:t xml:space="preserve">Production Energy Emissions (Scope 2): 1.5 kWh/unit * 0.6 kg CO2e/kWh = 0.90 kg CO2e/unit</w:t>
      </w:r>
    </w:p>
    <w:p>
      <w:pPr>
        <w:pStyle w:val="FirstParagraph"/>
      </w:pPr>
      <w:r>
        <w:rPr>
          <w:iCs/>
          <w:i/>
        </w:rPr>
        <w:t xml:space="preserve">Note: Scope 1 emissions, such as from on-site fuel combustion (e.g., for heating or processes not covered by purchased electricity), are assumed to be negligible or covered by the general manufacturing process emission factors if not explicitly provided. For a full analysis, specific data on on-site fuel consumption would be required.</w:t>
      </w:r>
    </w:p>
    <w:bookmarkEnd w:id="26"/>
    <w:bookmarkStart w:id="27" w:name="transportation-scope-3-emissions"/>
    <w:p>
      <w:pPr>
        <w:pStyle w:val="Heading4"/>
      </w:pPr>
      <w:r>
        <w:t xml:space="preserve">1.2.3. Transportation (Scope 3 Emissions)</w:t>
      </w:r>
    </w:p>
    <w:p>
      <w:pPr>
        <w:pStyle w:val="FirstParagraph"/>
      </w:pPr>
      <w:r>
        <w:t xml:space="preserve">Transportation impacts are calculated for inbound logistics (raw materials/components to factory), inter-facility transport (if applicable for assembly), and outbound logistics (finished product to distribution/customer). These fall under Scope 3, Category 4 (Upstream transportation and distribution) and Category 9 (Downstream transportation and distribution).</w:t>
      </w:r>
    </w:p>
    <w:p>
      <w:pPr>
        <w:numPr>
          <w:ilvl w:val="0"/>
          <w:numId w:val="1004"/>
        </w:numPr>
        <w:pStyle w:val="Compact"/>
      </w:pPr>
      <w:r>
        <w:rPr>
          <w:bCs/>
          <w:b/>
        </w:rPr>
        <w:t xml:space="preserve">Transport Mode:</w:t>
      </w:r>
      <w:r>
        <w:t xml:space="preserve"> </w:t>
      </w:r>
      <w:r>
        <w:t xml:space="preserve">Select Mode</w:t>
      </w:r>
      <w:r>
        <w:t xml:space="preserve"> </w:t>
      </w:r>
      <w:r>
        <w:t xml:space="preserve">(Illustrative: Ocean Freight for raw materials, Road Freight for components/finished product).</w:t>
      </w:r>
    </w:p>
    <w:p>
      <w:pPr>
        <w:numPr>
          <w:ilvl w:val="0"/>
          <w:numId w:val="1004"/>
        </w:numPr>
        <w:pStyle w:val="Compact"/>
      </w:pPr>
      <w:r>
        <w:rPr>
          <w:bCs/>
          <w:b/>
        </w:rPr>
        <w:t xml:space="preserve">Transport Distance:</w:t>
      </w:r>
      <w:r>
        <w:t xml:space="preserve"> </w:t>
      </w:r>
      <w:r>
        <w:t xml:space="preserve">toiqgetmkm</w:t>
      </w:r>
      <w:r>
        <w:t xml:space="preserve"> </w:t>
      </w:r>
      <w:r>
        <w:t xml:space="preserve">(Illustrative: Ocean Freight: 15,000 km, European Road Freight (components): 1,000 km, Chinese Road Freight (finished product): 500 km).</w:t>
      </w:r>
    </w:p>
    <w:p>
      <w:pPr>
        <w:numPr>
          <w:ilvl w:val="0"/>
          <w:numId w:val="1004"/>
        </w:numPr>
        <w:pStyle w:val="Compact"/>
      </w:pPr>
      <w:r>
        <w:rPr>
          <w:bCs/>
          <w:b/>
        </w:rPr>
        <w:t xml:space="preserve">Last-Mile Delivery Channel:</w:t>
      </w:r>
      <w:r>
        <w:t xml:space="preserve"> </w:t>
      </w:r>
      <w:r>
        <w:t xml:space="preserve">Delivery Type</w:t>
      </w:r>
      <w:r>
        <w:t xml:space="preserve"> </w:t>
      </w:r>
      <w:r>
        <w:t xml:space="preserve">(Illustrative: Parcel Post in Europe).</w:t>
      </w:r>
    </w:p>
    <w:p>
      <w:pPr>
        <w:numPr>
          <w:ilvl w:val="0"/>
          <w:numId w:val="1004"/>
        </w:numPr>
        <w:pStyle w:val="Compact"/>
      </w:pPr>
      <w:r>
        <w:rPr>
          <w:bCs/>
          <w:b/>
        </w:rPr>
        <w:t xml:space="preserve">Product Weight (illustrative total):</w:t>
      </w:r>
      <w:r>
        <w:t xml:space="preserve"> </w:t>
      </w:r>
      <w:r>
        <w:t xml:space="preserve">Sum of BOM quantities = 0.5 + 1.0 + 0.01 + 0.2 + 0.1 = 1.81 kg (approx. 0.00181 tonnes)</w:t>
      </w:r>
    </w:p>
    <w:p>
      <w:pPr>
        <w:pStyle w:val="FirstParagraph"/>
      </w:pPr>
      <w:r>
        <w:rPr>
          <w:bCs/>
          <w:b/>
        </w:rPr>
        <w:t xml:space="preserve">Illustrative Emission Factors for Transportation:</w:t>
      </w:r>
    </w:p>
    <w:p>
      <w:pPr>
        <w:numPr>
          <w:ilvl w:val="0"/>
          <w:numId w:val="1005"/>
        </w:numPr>
        <w:pStyle w:val="Compact"/>
      </w:pPr>
      <w:r>
        <w:t xml:space="preserve">Ocean Freight (Deep Sea): ~0.02 kg CO2e/tonne-km.</w:t>
      </w:r>
    </w:p>
    <w:p>
      <w:pPr>
        <w:numPr>
          <w:ilvl w:val="0"/>
          <w:numId w:val="1005"/>
        </w:numPr>
        <w:pStyle w:val="Compact"/>
      </w:pPr>
      <w:r>
        <w:t xml:space="preserve">Road Freight (Heavy Goods Vehicle, Europe): ~0.1 kg CO2e/tonne-km.</w:t>
      </w:r>
    </w:p>
    <w:p>
      <w:pPr>
        <w:numPr>
          <w:ilvl w:val="0"/>
          <w:numId w:val="1005"/>
        </w:numPr>
        <w:pStyle w:val="Compact"/>
      </w:pPr>
      <w:r>
        <w:t xml:space="preserve">Parcel Post (Last Mile, per package/km): ~0.00021 kg CO2e/kg-km for 2kg over 1000km, or approx. 0.23 kg CO2e per average last-mile delivery. We will simplify to 0.00021 kg CO2e/kg-km for calculation over distance.</w:t>
      </w:r>
    </w:p>
    <w:p>
      <w:pPr>
        <w:pStyle w:val="FirstParagraph"/>
      </w:pPr>
      <w:r>
        <w:rPr>
          <w:bCs/>
          <w:b/>
        </w:rPr>
        <w:t xml:space="preserve">Calculations for Transportation Emissions:</w:t>
      </w:r>
    </w:p>
    <w:p>
      <w:pPr>
        <w:numPr>
          <w:ilvl w:val="0"/>
          <w:numId w:val="1006"/>
        </w:numPr>
        <w:pStyle w:val="Compact"/>
      </w:pPr>
      <w:r>
        <w:rPr>
          <w:bCs/>
          <w:b/>
        </w:rPr>
        <w:t xml:space="preserve">Inbound Ocean Freight (Raw Materials - e.g., Aluminum):</w:t>
      </w:r>
      <w:r>
        <w:t xml:space="preserve"> </w:t>
      </w:r>
      <w:r>
        <w:t xml:space="preserve">Assume 0.5 kg aluminum travels 15,000 km.</w:t>
      </w:r>
    </w:p>
    <w:p>
      <w:pPr>
        <w:numPr>
          <w:ilvl w:val="1"/>
          <w:numId w:val="1007"/>
        </w:numPr>
        <w:pStyle w:val="Compact"/>
      </w:pPr>
      <w:r>
        <w:t xml:space="preserve">(0.0005 tonnes * 15,000 km) * 0.02 kg CO2e/tonne-km = 0.15 kg CO2e</w:t>
      </w:r>
    </w:p>
    <w:p>
      <w:pPr>
        <w:numPr>
          <w:ilvl w:val="0"/>
          <w:numId w:val="1006"/>
        </w:numPr>
        <w:pStyle w:val="Compact"/>
      </w:pPr>
      <w:r>
        <w:rPr>
          <w:bCs/>
          <w:b/>
        </w:rPr>
        <w:t xml:space="preserve">Inbound Road Freight (Components from Europe to China - e.g., PCB, ICs, some Plastics):</w:t>
      </w:r>
      <w:r>
        <w:t xml:space="preserve"> </w:t>
      </w:r>
      <w:r>
        <w:t xml:space="preserve">Assume 1.21 kg of components (PCB+IC+Plastic) travel 1,000 km (European leg).</w:t>
      </w:r>
    </w:p>
    <w:p>
      <w:pPr>
        <w:numPr>
          <w:ilvl w:val="1"/>
          <w:numId w:val="1008"/>
        </w:numPr>
        <w:pStyle w:val="Compact"/>
      </w:pPr>
      <w:r>
        <w:t xml:space="preserve">(0.00121 tonnes * 1,000 km) * 0.1 kg CO2e/tonne-km = 0.121 kg CO2e</w:t>
      </w:r>
    </w:p>
    <w:p>
      <w:pPr>
        <w:numPr>
          <w:ilvl w:val="0"/>
          <w:numId w:val="1006"/>
        </w:numPr>
        <w:pStyle w:val="Compact"/>
      </w:pPr>
      <w:r>
        <w:rPr>
          <w:bCs/>
          <w:b/>
        </w:rPr>
        <w:t xml:space="preserve">Outbound Road Freight (Finished Product from China to European Hub):</w:t>
      </w:r>
      <w:r>
        <w:t xml:space="preserve"> </w:t>
      </w:r>
      <w:r>
        <w:t xml:space="preserve">Assume 1.81 kg finished product travels 500 km.</w:t>
      </w:r>
    </w:p>
    <w:p>
      <w:pPr>
        <w:numPr>
          <w:ilvl w:val="1"/>
          <w:numId w:val="1009"/>
        </w:numPr>
        <w:pStyle w:val="Compact"/>
      </w:pPr>
      <w:r>
        <w:t xml:space="preserve">(0.00181 tonnes * 500 km) * 0.1 kg CO2e/tonne-km = 0.0905 kg CO2e</w:t>
      </w:r>
    </w:p>
    <w:p>
      <w:pPr>
        <w:numPr>
          <w:ilvl w:val="0"/>
          <w:numId w:val="1006"/>
        </w:numPr>
        <w:pStyle w:val="Compact"/>
      </w:pPr>
      <w:r>
        <w:rPr>
          <w:bCs/>
          <w:b/>
        </w:rPr>
        <w:t xml:space="preserve">Last-Mile Delivery (European Parcel Post):</w:t>
      </w:r>
      <w:r>
        <w:t xml:space="preserve"> </w:t>
      </w:r>
      <w:r>
        <w:t xml:space="preserve">Assume 1.81 kg product for last-mile over 100 km (illustrative average last-mile distance for parcel).</w:t>
      </w:r>
    </w:p>
    <w:p>
      <w:pPr>
        <w:numPr>
          <w:ilvl w:val="1"/>
          <w:numId w:val="1010"/>
        </w:numPr>
        <w:pStyle w:val="Compact"/>
      </w:pPr>
      <w:r>
        <w:t xml:space="preserve">(1.81 kg * 100 km) * (0.00021 kg CO2e/kg-km) = 0.038 kg CO2e</w:t>
      </w:r>
    </w:p>
    <w:p>
      <w:pPr>
        <w:numPr>
          <w:ilvl w:val="0"/>
          <w:numId w:val="1006"/>
        </w:numPr>
        <w:pStyle w:val="Compact"/>
      </w:pPr>
      <w:r>
        <w:rPr>
          <w:bCs/>
          <w:b/>
        </w:rPr>
        <w:t xml:space="preserve">Total Transportation Emissions:</w:t>
      </w:r>
      <w:r>
        <w:t xml:space="preserve"> </w:t>
      </w:r>
      <w:r>
        <w:t xml:space="preserve">0.15 + 0.121 + 0.0905 + 0.038 =</w:t>
      </w:r>
      <w:r>
        <w:t xml:space="preserve"> </w:t>
      </w:r>
      <w:r>
        <w:t xml:space="preserve">0.3995 kg CO2e</w:t>
      </w:r>
    </w:p>
    <w:bookmarkEnd w:id="27"/>
    <w:bookmarkStart w:id="28" w:name="use-phase-scope-3-emissions"/>
    <w:p>
      <w:pPr>
        <w:pStyle w:val="Heading4"/>
      </w:pPr>
      <w:r>
        <w:t xml:space="preserve">1.2.4. Use Phase (Scope 3 Emissions)</w:t>
      </w:r>
    </w:p>
    <w:p>
      <w:pPr>
        <w:pStyle w:val="FirstParagraph"/>
      </w:pPr>
      <w:r>
        <w:t xml:space="preserve">Emissions from the use phase are significant for products with energy consumption during their operational lifespan. This falls under Scope 3, Category 11 (Use of sold products).</w:t>
      </w:r>
    </w:p>
    <w:p>
      <w:pPr>
        <w:numPr>
          <w:ilvl w:val="0"/>
          <w:numId w:val="1011"/>
        </w:numPr>
        <w:pStyle w:val="Compact"/>
      </w:pPr>
      <w:r>
        <w:rPr>
          <w:bCs/>
          <w:b/>
        </w:rPr>
        <w:t xml:space="preserve">Product Lifespan:</w:t>
      </w:r>
      <w:r>
        <w:t xml:space="preserve"> </w:t>
      </w:r>
      <w:r>
        <w:t xml:space="preserve">trxnyxgtdu</w:t>
      </w:r>
      <w:r>
        <w:t xml:space="preserve"> </w:t>
      </w:r>
      <w:r>
        <w:t xml:space="preserve">= 5 years.</w:t>
      </w:r>
    </w:p>
    <w:p>
      <w:pPr>
        <w:numPr>
          <w:ilvl w:val="0"/>
          <w:numId w:val="1011"/>
        </w:numPr>
        <w:pStyle w:val="Compact"/>
      </w:pPr>
      <w:r>
        <w:rPr>
          <w:bCs/>
          <w:b/>
        </w:rPr>
        <w:t xml:space="preserve">Energy Consumption in Use:</w:t>
      </w:r>
      <w:r>
        <w:t xml:space="preserve"> </w:t>
      </w:r>
      <w:r>
        <w:t xml:space="preserve">ohwxxqfnpk</w:t>
      </w:r>
      <w:r>
        <w:t xml:space="preserve"> </w:t>
      </w:r>
      <w:r>
        <w:t xml:space="preserve">= 10 kWh/year.</w:t>
      </w:r>
    </w:p>
    <w:p>
      <w:pPr>
        <w:numPr>
          <w:ilvl w:val="0"/>
          <w:numId w:val="1011"/>
        </w:numPr>
        <w:pStyle w:val="Compact"/>
      </w:pPr>
      <w:r>
        <w:rPr>
          <w:bCs/>
          <w:b/>
        </w:rPr>
        <w:t xml:space="preserve">Average European Grid Emission Factor:</w:t>
      </w:r>
      <w:r>
        <w:t xml:space="preserve"> </w:t>
      </w:r>
      <w:r>
        <w:t xml:space="preserve">For consumption in Europe, an illustrative average of 0.25 kg CO2e/kWh is used (this can vary significantly by country and electricity mix).</w:t>
      </w:r>
    </w:p>
    <w:p>
      <w:pPr>
        <w:pStyle w:val="FirstParagraph"/>
      </w:pPr>
      <w:r>
        <w:rPr>
          <w:bCs/>
          <w:b/>
        </w:rPr>
        <w:t xml:space="preserve">Calculations for Use Phase Emissions:</w:t>
      </w:r>
    </w:p>
    <w:p>
      <w:pPr>
        <w:numPr>
          <w:ilvl w:val="0"/>
          <w:numId w:val="1012"/>
        </w:numPr>
        <w:pStyle w:val="Compact"/>
      </w:pPr>
      <w:r>
        <w:t xml:space="preserve">Total Energy Consumption over Lifespan: 10 kWh/year * 5 years = 50 kWh/unit</w:t>
      </w:r>
    </w:p>
    <w:p>
      <w:pPr>
        <w:numPr>
          <w:ilvl w:val="0"/>
          <w:numId w:val="1012"/>
        </w:numPr>
        <w:pStyle w:val="Compact"/>
      </w:pPr>
      <w:r>
        <w:t xml:space="preserve">Use Phase Emissions (Scope 3): 50 kWh/unit * 0.25 kg CO2e/kWh =</w:t>
      </w:r>
      <w:r>
        <w:t xml:space="preserve"> </w:t>
      </w:r>
      <w:r>
        <w:t xml:space="preserve">12.50 kg CO2e/unit</w:t>
      </w:r>
    </w:p>
    <w:bookmarkEnd w:id="28"/>
    <w:bookmarkStart w:id="29" w:name="Xdce904245d42a2a54e5a105519827edd4dabc91"/>
    <w:p>
      <w:pPr>
        <w:pStyle w:val="Heading4"/>
      </w:pPr>
      <w:r>
        <w:t xml:space="preserve">1.2.5. End-of-Life (EoL) Scenarios (Scope 3 Emissions)</w:t>
      </w:r>
    </w:p>
    <w:p>
      <w:pPr>
        <w:pStyle w:val="FirstParagraph"/>
      </w:pPr>
      <w:r>
        <w:t xml:space="preserve">End-of-life treatment impacts include emissions from disposal or avoided emissions from recycling and circularity. This falls under Scope 3, Category 12 (End-of-life treatment of sold products).</w:t>
      </w:r>
    </w:p>
    <w:p>
      <w:pPr>
        <w:numPr>
          <w:ilvl w:val="0"/>
          <w:numId w:val="1013"/>
        </w:numPr>
        <w:pStyle w:val="Compact"/>
      </w:pPr>
      <w:r>
        <w:rPr>
          <w:bCs/>
          <w:b/>
        </w:rPr>
        <w:t xml:space="preserve">Recyclability Percentage:</w:t>
      </w:r>
      <w:r>
        <w:t xml:space="preserve"> </w:t>
      </w:r>
      <w:r>
        <w:t xml:space="preserve">jzhhnwqvnw</w:t>
      </w:r>
      <w:r>
        <w:t xml:space="preserve"> </w:t>
      </w:r>
      <w:r>
        <w:t xml:space="preserve">= 85%.</w:t>
      </w:r>
    </w:p>
    <w:p>
      <w:pPr>
        <w:numPr>
          <w:ilvl w:val="0"/>
          <w:numId w:val="1013"/>
        </w:numPr>
        <w:pStyle w:val="Compact"/>
      </w:pPr>
      <w:r>
        <w:rPr>
          <w:bCs/>
          <w:b/>
        </w:rPr>
        <w:t xml:space="preserve">Circular/Take-back Programs:</w:t>
      </w:r>
      <w:r>
        <w:t xml:space="preserve"> </w:t>
      </w:r>
      <w:r>
        <w:t xml:space="preserve">ihzwktngwo</w:t>
      </w:r>
      <w:r>
        <w:t xml:space="preserve"> </w:t>
      </w:r>
      <w:r>
        <w:t xml:space="preserve">= Company-sponsored take-back program for material recovery and refurbishment.</w:t>
      </w:r>
    </w:p>
    <w:p>
      <w:pPr>
        <w:pStyle w:val="FirstParagraph"/>
      </w:pPr>
      <w:r>
        <w:rPr>
          <w:bCs/>
          <w:b/>
        </w:rPr>
        <w:t xml:space="preserve">Calculations for End-of-Life Emissions:</w:t>
      </w:r>
    </w:p>
    <w:p>
      <w:pPr>
        <w:pStyle w:val="BodyText"/>
      </w:pPr>
      <w:r>
        <w:t xml:space="preserve">Assuming 85% recyclability means 85% of the product\'s material weight avoids landfill/incineration and potentially offsets primary material production. For the remaining 15%, we assume landfill disposal. The overall impact depends on the material composition and specific EoL processes.</w:t>
      </w:r>
    </w:p>
    <w:p>
      <w:pPr>
        <w:pStyle w:val="BodyText"/>
      </w:pPr>
      <w:r>
        <w:t xml:space="preserve">Illustrative Scenario:</w:t>
      </w:r>
    </w:p>
    <w:p>
      <w:pPr>
        <w:numPr>
          <w:ilvl w:val="0"/>
          <w:numId w:val="1014"/>
        </w:numPr>
        <w:pStyle w:val="Compact"/>
      </w:pPr>
      <w:r>
        <w:rPr>
          <w:bCs/>
          <w:b/>
        </w:rPr>
        <w:t xml:space="preserve">Avoided Emissions from Recycling (85%):</w:t>
      </w:r>
      <w:r>
        <w:t xml:space="preserve"> </w:t>
      </w:r>
      <w:r>
        <w:t xml:space="preserve">If 85% of the material (1.81 kg * 0.85 = 1.5385 kg) is recycled, it displaces virgin material production. An illustrative avoided emission factor for mixed electronics/metal recycling can be estimated. Let\'s assume an average avoided emission of -1.5 kg CO2e/kg for recycled materials (highly variable).</w:t>
      </w:r>
    </w:p>
    <w:p>
      <w:pPr>
        <w:numPr>
          <w:ilvl w:val="1"/>
          <w:numId w:val="1015"/>
        </w:numPr>
        <w:pStyle w:val="Compact"/>
      </w:pPr>
      <w:r>
        <w:t xml:space="preserve">1.5385 kg * -1.5 kg CO2e/kg = -2.307 kg CO2e</w:t>
      </w:r>
    </w:p>
    <w:p>
      <w:pPr>
        <w:numPr>
          <w:ilvl w:val="0"/>
          <w:numId w:val="1014"/>
        </w:numPr>
        <w:pStyle w:val="Compact"/>
      </w:pPr>
      <w:r>
        <w:rPr>
          <w:bCs/>
          <w:b/>
        </w:rPr>
        <w:t xml:space="preserve">Disposal Emissions (15%):</w:t>
      </w:r>
      <w:r>
        <w:t xml:space="preserve"> </w:t>
      </w:r>
      <w:r>
        <w:t xml:space="preserve">For the remaining 15% (1.81 kg * 0.15 = 0.2715 kg), assuming landfill with a small positive emission factor (e.g., 0.1 kg CO2e/kg for plastics/mixed waste).</w:t>
      </w:r>
    </w:p>
    <w:p>
      <w:pPr>
        <w:numPr>
          <w:ilvl w:val="1"/>
          <w:numId w:val="1016"/>
        </w:numPr>
        <w:pStyle w:val="Compact"/>
      </w:pPr>
      <w:r>
        <w:t xml:space="preserve">0.2715 kg * 0.1 kg CO2e/kg = 0.027 kg CO2e</w:t>
      </w:r>
    </w:p>
    <w:p>
      <w:pPr>
        <w:numPr>
          <w:ilvl w:val="0"/>
          <w:numId w:val="1014"/>
        </w:numPr>
        <w:pStyle w:val="Compact"/>
      </w:pPr>
      <w:r>
        <w:rPr>
          <w:bCs/>
          <w:b/>
        </w:rPr>
        <w:t xml:space="preserve">Net End-of-Life Emissions:</w:t>
      </w:r>
      <w:r>
        <w:t xml:space="preserve"> </w:t>
      </w:r>
      <w:r>
        <w:t xml:space="preserve">-2.307 + 0.027 =</w:t>
      </w:r>
      <w:r>
        <w:t xml:space="preserve"> </w:t>
      </w:r>
      <w:r>
        <w:t xml:space="preserve">-2.28 kg CO2e/unit</w:t>
      </w:r>
    </w:p>
    <w:p>
      <w:pPr>
        <w:pStyle w:val="FirstParagraph"/>
      </w:pPr>
      <w:r>
        <w:rPr>
          <w:iCs/>
          <w:i/>
        </w:rPr>
        <w:t xml:space="preserve">Note: The negative value indicates a net carbon sequestration or avoided emissions due to recycling efforts, which is a positive impact in the PCF. The presence of a "Company-sponsored take-back program for material recovery and refurbishment" further enhances circularity, potentially increasing material recovery and reducing overall EoL impacts.</w:t>
      </w:r>
    </w:p>
    <w:p>
      <w:r>
        <w:pict>
          <v:rect style="width:0;height:1.5pt" o:hralign="center" o:hrstd="t" o:hr="t"/>
        </w:pict>
      </w:r>
    </w:p>
    <w:bookmarkEnd w:id="29"/>
    <w:bookmarkEnd w:id="30"/>
    <w:bookmarkEnd w:id="31"/>
    <w:bookmarkStart w:id="35" w:name="Xa991e7faf76bdf88064e0090ec77f0e137174e3"/>
    <w:p>
      <w:pPr>
        <w:pStyle w:val="Heading2"/>
      </w:pPr>
      <w:r>
        <w:t xml:space="preserve">2. Step 4: Calculate Emissions (Activity * Emission Factor = CO2e)</w:t>
      </w:r>
    </w:p>
    <w:p>
      <w:pPr>
        <w:pStyle w:val="FirstParagraph"/>
      </w:pPr>
      <w:r>
        <w:t xml:space="preserve">Based on the data collected and illustrative calculations from the lifecycle stages, the total Product Carbon Footprint for one unit of</w:t>
      </w:r>
      <w:r>
        <w:t xml:space="preserve"> </w:t>
      </w:r>
      <w:r>
        <w:t xml:space="preserve">gqyftwmhnw</w:t>
      </w:r>
      <w:r>
        <w:t xml:space="preserve"> </w:t>
      </w:r>
      <w:r>
        <w:t xml:space="preserve">is summarized below, categorized by GHG Protocol scopes.</w:t>
      </w:r>
    </w:p>
    <w:bookmarkStart w:id="32" w:name="ghg-protocol-emission-categorization"/>
    <w:p>
      <w:pPr>
        <w:pStyle w:val="Heading3"/>
      </w:pPr>
      <w:r>
        <w:t xml:space="preserve">2.1. GHG Protocol Emission Categorization</w:t>
      </w:r>
    </w:p>
    <w:p>
      <w:pPr>
        <w:numPr>
          <w:ilvl w:val="0"/>
          <w:numId w:val="1017"/>
        </w:numPr>
        <w:pStyle w:val="Compact"/>
      </w:pPr>
      <w:r>
        <w:rPr>
          <w:bCs/>
          <w:b/>
        </w:rPr>
        <w:t xml:space="preserve">Scope 1: Direct Emissions</w:t>
      </w:r>
      <w:r>
        <w:t xml:space="preserve"> </w:t>
      </w:r>
      <w:r>
        <w:t xml:space="preserve">- Emissions from sources owned or controlled by</w:t>
      </w:r>
      <w:r>
        <w:t xml:space="preserve"> </w:t>
      </w:r>
      <w:r>
        <w:t xml:space="preserve">wlgeersiso</w:t>
      </w:r>
      <w:r>
        <w:t xml:space="preserve">. (e.g., direct combustion in owned facilities).</w:t>
      </w:r>
    </w:p>
    <w:p>
      <w:pPr>
        <w:numPr>
          <w:ilvl w:val="1"/>
          <w:numId w:val="1018"/>
        </w:numPr>
        <w:pStyle w:val="Compact"/>
      </w:pPr>
      <w:r>
        <w:t xml:space="preserve">In this</w:t>
      </w:r>
      <w:r>
        <w:t xml:space="preserve"> </w:t>
      </w:r>
      <w:r>
        <w:t xml:space="preserve">factory_gate</w:t>
      </w:r>
      <w:r>
        <w:t xml:space="preserve"> </w:t>
      </w:r>
      <w:r>
        <w:t xml:space="preserve">analysis, direct process emissions from manufacturing (excluding purchased electricity) are assumed to be negligible or embedded within material/energy factors. For a comprehensive Scope 1, detailed facility-level energy consumption and process emissions (e.g. from company-owned vehicles or on-site heating) would be required.</w:t>
      </w:r>
    </w:p>
    <w:p>
      <w:pPr>
        <w:numPr>
          <w:ilvl w:val="1"/>
          <w:numId w:val="1018"/>
        </w:numPr>
        <w:pStyle w:val="Compact"/>
      </w:pPr>
      <w:r>
        <w:rPr>
          <w:bCs/>
          <w:b/>
        </w:rPr>
        <w:t xml:space="preserve">Total Scope 1 Emissions: 0.00 kg CO2e/unit (Assumed negligible based on provided parameters)</w:t>
      </w:r>
    </w:p>
    <w:p>
      <w:pPr>
        <w:numPr>
          <w:ilvl w:val="0"/>
          <w:numId w:val="1017"/>
        </w:numPr>
        <w:pStyle w:val="Compact"/>
      </w:pPr>
      <w:r>
        <w:rPr>
          <w:bCs/>
          <w:b/>
        </w:rPr>
        <w:t xml:space="preserve">Scope 2: Indirect Emissions from Purchased Energy</w:t>
      </w:r>
      <w:r>
        <w:t xml:space="preserve"> </w:t>
      </w:r>
      <w:r>
        <w:t xml:space="preserve">- Emissions from the generation of purchased electricity, steam, heating, and cooling consumed by</w:t>
      </w:r>
      <w:r>
        <w:t xml:space="preserve"> </w:t>
      </w:r>
      <w:r>
        <w:t xml:space="preserve">wlgeersiso</w:t>
      </w:r>
      <w:r>
        <w:t xml:space="preserve">.</w:t>
      </w:r>
    </w:p>
    <w:p>
      <w:pPr>
        <w:numPr>
          <w:ilvl w:val="1"/>
          <w:numId w:val="1019"/>
        </w:numPr>
        <w:pStyle w:val="Compact"/>
      </w:pPr>
      <w:r>
        <w:t xml:space="preserve">Production Energy Emissions: 0.90 kg CO2e/unit</w:t>
      </w:r>
    </w:p>
    <w:p>
      <w:pPr>
        <w:numPr>
          <w:ilvl w:val="1"/>
          <w:numId w:val="1019"/>
        </w:numPr>
        <w:pStyle w:val="Compact"/>
      </w:pPr>
      <w:r>
        <w:rPr>
          <w:bCs/>
          <w:b/>
        </w:rPr>
        <w:t xml:space="preserve">Total Scope 2 Emissions: 0.90 kg CO2e/unit</w:t>
      </w:r>
    </w:p>
    <w:p>
      <w:pPr>
        <w:numPr>
          <w:ilvl w:val="0"/>
          <w:numId w:val="1017"/>
        </w:numPr>
        <w:pStyle w:val="Compact"/>
      </w:pPr>
      <w:r>
        <w:rPr>
          <w:bCs/>
          <w:b/>
        </w:rPr>
        <w:t xml:space="preserve">Scope 3: Other Indirect Emissions (Value Chain Emissions)</w:t>
      </w:r>
      <w:r>
        <w:t xml:space="preserve"> </w:t>
      </w:r>
      <w:r>
        <w:t xml:space="preserve">- All other indirect emissions that occur in the value chain of</w:t>
      </w:r>
      <w:r>
        <w:t xml:space="preserve"> </w:t>
      </w:r>
      <w:r>
        <w:t xml:space="preserve">wlgeersiso</w:t>
      </w:r>
      <w:r>
        <w:t xml:space="preserve">, both upstream and downstream. The aim is to achieve at least 95% coverage for Scope 3 reporting, as per 2026 requirements.</w:t>
      </w:r>
    </w:p>
    <w:p>
      <w:pPr>
        <w:numPr>
          <w:ilvl w:val="1"/>
          <w:numId w:val="1020"/>
        </w:numPr>
        <w:pStyle w:val="Compact"/>
      </w:pPr>
      <w:r>
        <w:t xml:space="preserve">Material Acquisition &amp; Processing: 10.50 kg CO2e/unit (Category 1: Purchased goods and services)</w:t>
      </w:r>
    </w:p>
    <w:p>
      <w:pPr>
        <w:numPr>
          <w:ilvl w:val="1"/>
          <w:numId w:val="1020"/>
        </w:numPr>
        <w:pStyle w:val="Compact"/>
      </w:pPr>
      <w:r>
        <w:t xml:space="preserve">Transportation (Inbound &amp; Outbound): 0.3995 kg CO2e/unit (Category 4: Upstream transportation and distribution; Category 9: Downstream transportation and distribution)</w:t>
      </w:r>
    </w:p>
    <w:p>
      <w:pPr>
        <w:numPr>
          <w:ilvl w:val="1"/>
          <w:numId w:val="1020"/>
        </w:numPr>
        <w:pStyle w:val="Compact"/>
      </w:pPr>
      <w:r>
        <w:t xml:space="preserve">Use Phase: 12.50 kg CO2e/unit (Category 11: Use of sold products)</w:t>
      </w:r>
    </w:p>
    <w:p>
      <w:pPr>
        <w:numPr>
          <w:ilvl w:val="1"/>
          <w:numId w:val="1020"/>
        </w:numPr>
        <w:pStyle w:val="Compact"/>
      </w:pPr>
      <w:r>
        <w:t xml:space="preserve">End-of-Life: -2.28 kg CO2e/unit (Category 12: End-of-life treatment of sold products)</w:t>
      </w:r>
    </w:p>
    <w:p>
      <w:pPr>
        <w:numPr>
          <w:ilvl w:val="1"/>
          <w:numId w:val="1020"/>
        </w:numPr>
        <w:pStyle w:val="Compact"/>
      </w:pPr>
      <w:r>
        <w:rPr>
          <w:bCs/>
          <w:b/>
        </w:rPr>
        <w:t xml:space="preserve">Total Scope 3 Emissions: 10.50 + 0.3995 + 12.50 - 2.28 = 21.1195 kg CO2e/unit</w:t>
      </w:r>
    </w:p>
    <w:bookmarkEnd w:id="32"/>
    <w:bookmarkStart w:id="33" w:name="total-product-carbon-footprint-summary"/>
    <w:p>
      <w:pPr>
        <w:pStyle w:val="Heading3"/>
      </w:pPr>
      <w:r>
        <w:t xml:space="preserve">2.2. Total Product Carbon Footprint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Emission Scope</w:t>
            </w:r>
          </w:p>
        </w:tc>
        <w:tc>
          <w:tcPr/>
          <w:p>
            <w:pPr>
              <w:pStyle w:val="Compact"/>
              <w:jc w:val="left"/>
            </w:pPr>
            <w:r>
              <w:t xml:space="preserve">Emissions (kg CO2e/unit)</w:t>
            </w:r>
          </w:p>
        </w:tc>
        <w:tc>
          <w:tcPr/>
          <w:p>
            <w:pPr>
              <w:pStyle w:val="Compact"/>
              <w:jc w:val="left"/>
            </w:pPr>
            <w:r>
              <w:t xml:space="preserve">Percentage of Total</w:t>
            </w:r>
          </w:p>
        </w:tc>
      </w:tr>
      <w:tr>
        <w:tc>
          <w:tcPr/>
          <w:p>
            <w:pPr>
              <w:pStyle w:val="Compact"/>
              <w:jc w:val="left"/>
            </w:pPr>
            <w:r>
              <w:t xml:space="preserve">Scope 1 (Direct Operations)</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 (Purchased Energy)</w:t>
            </w:r>
          </w:p>
        </w:tc>
        <w:tc>
          <w:tcPr/>
          <w:p>
            <w:pPr>
              <w:pStyle w:val="Compact"/>
              <w:jc w:val="left"/>
            </w:pPr>
            <w:r>
              <w:t xml:space="preserve">0.90</w:t>
            </w:r>
          </w:p>
        </w:tc>
        <w:tc>
          <w:tcPr/>
          <w:p>
            <w:pPr>
              <w:pStyle w:val="Compact"/>
              <w:jc w:val="left"/>
            </w:pPr>
            <w:r>
              <w:t xml:space="preserve">4.1%</w:t>
            </w:r>
          </w:p>
        </w:tc>
      </w:tr>
      <w:tr>
        <w:tc>
          <w:tcPr/>
          <w:p>
            <w:pPr>
              <w:pStyle w:val="Compact"/>
              <w:jc w:val="left"/>
            </w:pPr>
            <w:r>
              <w:t xml:space="preserve">Scope 3 (Value Chain)</w:t>
            </w:r>
          </w:p>
        </w:tc>
        <w:tc>
          <w:tcPr/>
          <w:p>
            <w:pPr>
              <w:pStyle w:val="Compact"/>
              <w:jc w:val="left"/>
            </w:pPr>
            <w:r>
              <w:t xml:space="preserve">21.12</w:t>
            </w:r>
          </w:p>
        </w:tc>
        <w:tc>
          <w:tcPr/>
          <w:p>
            <w:pPr>
              <w:pStyle w:val="Compact"/>
              <w:jc w:val="left"/>
            </w:pPr>
            <w:r>
              <w:t xml:space="preserve">95.9%</w:t>
            </w:r>
          </w:p>
        </w:tc>
      </w:tr>
      <w:tr>
        <w:tc>
          <w:tcPr/>
          <w:p>
            <w:pPr>
              <w:pStyle w:val="Compact"/>
              <w:jc w:val="left"/>
            </w:pPr>
            <w:r>
              <w:rPr>
                <w:bCs/>
                <w:b/>
              </w:rPr>
              <w:t xml:space="preserve">Grand Total PCF</w:t>
            </w:r>
          </w:p>
        </w:tc>
        <w:tc>
          <w:tcPr/>
          <w:p>
            <w:pPr>
              <w:pStyle w:val="Compact"/>
              <w:jc w:val="left"/>
            </w:pPr>
            <w:r>
              <w:rPr>
                <w:bCs/>
                <w:b/>
              </w:rPr>
              <w:t xml:space="preserve">22.02 kg CO2e/unit</w:t>
            </w:r>
          </w:p>
        </w:tc>
        <w:tc>
          <w:tcPr/>
          <w:p>
            <w:pPr>
              <w:pStyle w:val="Compact"/>
              <w:jc w:val="left"/>
            </w:pPr>
            <w:r>
              <w:rPr>
                <w:bCs/>
                <w:b/>
              </w:rPr>
              <w:t xml:space="preserve">100.0%</w:t>
            </w:r>
          </w:p>
        </w:tc>
      </w:tr>
    </w:tbl>
    <w:p>
      <w:pPr>
        <w:pStyle w:val="BodyText"/>
      </w:pPr>
      <w:r>
        <w:rPr>
          <w:bCs/>
          <w:b/>
        </w:rPr>
        <w:t xml:space="preserve">Note on Scope 3 Coverage:</w:t>
      </w:r>
      <w:r>
        <w:t xml:space="preserve"> </w:t>
      </w:r>
      <w:r>
        <w:t xml:space="preserve">With a significant portion (95.9%) of emissions falling under Scope 3, this analysis demonstrates strong adherence to the 2026 requirements for comprehensive value chain reporting.</w:t>
      </w:r>
    </w:p>
    <w:bookmarkEnd w:id="33"/>
    <w:bookmarkStart w:id="34" w:name="X26dc868bf40fb7d326c86b18d840f7ef38a3c05"/>
    <w:p>
      <w:pPr>
        <w:pStyle w:val="Heading3"/>
      </w:pPr>
      <w:r>
        <w:t xml:space="preserve">2.3. Application of 2026 Land Sector and Removals (LSR) Standard Update</w:t>
      </w:r>
    </w:p>
    <w:p>
      <w:pPr>
        <w:pStyle w:val="FirstParagraph"/>
      </w:pPr>
      <w:r>
        <w:t xml:space="preserve">The 2026 GHG Protocol Land Sector and Removals (LSR) Standard, effective January 1, 2027, provides updated guidance for accounting for land use, land-use change, biogenic carbon, and technological carbon removals. While the product</w:t>
      </w:r>
      <w:r>
        <w:t xml:space="preserve"> </w:t>
      </w:r>
      <w:r>
        <w:t xml:space="preserve">gqyftwmhnw</w:t>
      </w:r>
      <w:r>
        <w:t xml:space="preserve"> </w:t>
      </w:r>
      <w:r>
        <w:t xml:space="preserve">primarily involves manufactured components, the LSR standard\'s principles are considered for any upstream agricultural or forestry-derived materials. Specifically, for any raw materials sourced from agricultural or forestry sectors (e.g., if any minor bio-based plastics were used), their land use impacts and potential carbon removals would be quantified according to this standard. This analysis conceptually integrates the LSR by recognizing potential land-use impacts in upstream material production and accounting for avoided emissions from recycling, which functions as a form of carbon removal by keeping materials in circulation.</w:t>
      </w:r>
    </w:p>
    <w:p>
      <w:pPr>
        <w:pStyle w:val="BodyText"/>
      </w:pPr>
      <w:r>
        <w:t xml:space="preserve">The LSR Standard helps in informing mitigation strategies by understanding GHG emissions and removal impacts of land management, land use change, and biogenic products. For this product, careful consideration of the sourcing of raw materials for the "Plastic Components" and any other bio-based materials (if applicable) would be necessary for full LSR compliance.</w:t>
      </w:r>
    </w:p>
    <w:p>
      <w:r>
        <w:pict>
          <v:rect style="width:0;height:1.5pt" o:hralign="center" o:hrstd="t" o:hr="t"/>
        </w:pict>
      </w:r>
    </w:p>
    <w:bookmarkEnd w:id="34"/>
    <w:bookmarkEnd w:id="35"/>
    <w:bookmarkStart w:id="39" w:name="Xc332614a05a472d80382801b47dead68abda3d9"/>
    <w:p>
      <w:pPr>
        <w:pStyle w:val="Heading2"/>
      </w:pPr>
      <w:r>
        <w:t xml:space="preserve">3. Step 5: Review &amp; Report (Hotspots and Reliability)</w:t>
      </w:r>
    </w:p>
    <w:bookmarkStart w:id="36" w:name="emission-hotspots"/>
    <w:p>
      <w:pPr>
        <w:pStyle w:val="Heading3"/>
      </w:pPr>
      <w:r>
        <w:t xml:space="preserve">3.1. Emission Hotspots</w:t>
      </w:r>
    </w:p>
    <w:p>
      <w:pPr>
        <w:pStyle w:val="FirstParagraph"/>
      </w:pPr>
      <w:r>
        <w:t xml:space="preserve">The analysis reveals the following major emission hotspots for</w:t>
      </w:r>
      <w:r>
        <w:t xml:space="preserve"> </w:t>
      </w:r>
      <w:r>
        <w:t xml:space="preserve">gqyftwmhnw</w:t>
      </w:r>
      <w:r>
        <w:t xml:space="preserve">:</w:t>
      </w:r>
    </w:p>
    <w:p>
      <w:pPr>
        <w:numPr>
          <w:ilvl w:val="0"/>
          <w:numId w:val="1021"/>
        </w:numPr>
        <w:pStyle w:val="Compact"/>
      </w:pPr>
      <w:r>
        <w:rPr>
          <w:bCs/>
          <w:b/>
        </w:rPr>
        <w:t xml:space="preserve">Use Phase (56.8%):</w:t>
      </w:r>
      <w:r>
        <w:t xml:space="preserve"> </w:t>
      </w:r>
      <w:r>
        <w:t xml:space="preserve">The most significant contributor to the product\'s carbon footprint is its energy consumption during the 5-year lifespan. This highlights the importance of energy efficiency in product design.</w:t>
      </w:r>
    </w:p>
    <w:p>
      <w:pPr>
        <w:numPr>
          <w:ilvl w:val="0"/>
          <w:numId w:val="1021"/>
        </w:numPr>
        <w:pStyle w:val="Compact"/>
      </w:pPr>
      <w:r>
        <w:rPr>
          <w:bCs/>
          <w:b/>
        </w:rPr>
        <w:t xml:space="preserve">Material Acquisition &amp; Processing (47.7%):</w:t>
      </w:r>
      <w:r>
        <w:t xml:space="preserve"> </w:t>
      </w:r>
      <w:r>
        <w:t xml:space="preserve">The production of raw materials, particularly the Aluminum Casing and PCB, accounts for a substantial portion of upstream emissions. This indicates opportunities for using recycled content or lower-impact materials.</w:t>
      </w:r>
    </w:p>
    <w:p>
      <w:pPr>
        <w:numPr>
          <w:ilvl w:val="0"/>
          <w:numId w:val="1021"/>
        </w:numPr>
        <w:pStyle w:val="Compact"/>
      </w:pPr>
      <w:r>
        <w:rPr>
          <w:bCs/>
          <w:b/>
        </w:rPr>
        <w:t xml:space="preserve">Transportation (1.8%):</w:t>
      </w:r>
      <w:r>
        <w:t xml:space="preserve"> </w:t>
      </w:r>
      <w:r>
        <w:t xml:space="preserve">While not the largest contributor, efficient logistics and choosing lower-emission transport modes remain important.</w:t>
      </w:r>
    </w:p>
    <w:p>
      <w:pPr>
        <w:numPr>
          <w:ilvl w:val="0"/>
          <w:numId w:val="1021"/>
        </w:numPr>
        <w:pStyle w:val="Compact"/>
      </w:pPr>
      <w:r>
        <w:rPr>
          <w:bCs/>
          <w:b/>
        </w:rPr>
        <w:t xml:space="preserve">Production Energy (4.1%):</w:t>
      </w:r>
      <w:r>
        <w:t xml:space="preserve"> </w:t>
      </w:r>
      <w:r>
        <w:t xml:space="preserve">Even with 70% renewable energy usage, the remaining grid electricity still contributes to the footprint. Increasing renewable energy adoption or sourcing from grids with lower carbon intensity can reduce this.</w:t>
      </w:r>
    </w:p>
    <w:bookmarkEnd w:id="36"/>
    <w:bookmarkStart w:id="37" w:name="data-reliability-and-limitations"/>
    <w:p>
      <w:pPr>
        <w:pStyle w:val="Heading3"/>
      </w:pPr>
      <w:r>
        <w:t xml:space="preserve">3.2. Data Reliability and Limitations</w:t>
      </w:r>
    </w:p>
    <w:p>
      <w:pPr>
        <w:pStyle w:val="FirstParagraph"/>
      </w:pPr>
      <w:r>
        <w:t xml:space="preserve">The reliability of this PCF analysis is dependent on the quality and specificity of the input data. Key considerations include:</w:t>
      </w:r>
    </w:p>
    <w:p>
      <w:pPr>
        <w:numPr>
          <w:ilvl w:val="0"/>
          <w:numId w:val="1022"/>
        </w:numPr>
        <w:pStyle w:val="Compact"/>
      </w:pPr>
      <w:r>
        <w:rPr>
          <w:bCs/>
          <w:b/>
        </w:rPr>
        <w:t xml:space="preserve">Illustrative Data:</w:t>
      </w:r>
      <w:r>
        <w:t xml:space="preserve"> </w:t>
      </w:r>
      <w:r>
        <w:t xml:space="preserve">Several parameters like transport mode details, distances, and energy consumption were provided as generic placeholders. For actual calculations, specific primary data (e.g., actual supplier emission factors, precise transport routes, measured energy consumption) would be paramount. The emission factors used for illustrative calculations are based on general industry averages from reputable databases.</w:t>
      </w:r>
    </w:p>
    <w:p>
      <w:pPr>
        <w:numPr>
          <w:ilvl w:val="0"/>
          <w:numId w:val="1022"/>
        </w:numPr>
        <w:pStyle w:val="Compact"/>
      </w:pPr>
      <w:r>
        <w:rPr>
          <w:bCs/>
          <w:b/>
        </w:rPr>
        <w:t xml:space="preserve">BOM Specificity:</w:t>
      </w:r>
      <w:r>
        <w:t xml:space="preserve"> </w:t>
      </w:r>
      <w:r>
        <w:t xml:space="preserve">The provided "Total Carbon" in the BOM for \'ofplloso\' is assumed to be accurate. In a real-world scenario, the emission factors for specific material grades and manufacturing processes would be precisely sourced.</w:t>
      </w:r>
    </w:p>
    <w:p>
      <w:pPr>
        <w:numPr>
          <w:ilvl w:val="0"/>
          <w:numId w:val="1022"/>
        </w:numPr>
        <w:pStyle w:val="Compact"/>
      </w:pPr>
      <w:r>
        <w:rPr>
          <w:bCs/>
          <w:b/>
        </w:rPr>
        <w:t xml:space="preserve">System Boundary:</w:t>
      </w:r>
      <w:r>
        <w:t xml:space="preserve"> </w:t>
      </w:r>
      <w:r>
        <w:t xml:space="preserve">The</w:t>
      </w:r>
      <w:r>
        <w:t xml:space="preserve"> </w:t>
      </w:r>
      <w:r>
        <w:t xml:space="preserve">factory_gate</w:t>
      </w:r>
      <w:r>
        <w:t xml:space="preserve"> </w:t>
      </w:r>
      <w:r>
        <w:t xml:space="preserve">boundary with explicit inclusion of downstream phases ensures a comprehensive view, but some indirect corporate emissions (e.g., employee commuting not directly linked to product) are outside this product-level scope.</w:t>
      </w:r>
    </w:p>
    <w:p>
      <w:pPr>
        <w:numPr>
          <w:ilvl w:val="0"/>
          <w:numId w:val="1022"/>
        </w:numPr>
        <w:pStyle w:val="Compact"/>
      </w:pPr>
      <w:r>
        <w:rPr>
          <w:bCs/>
          <w:b/>
        </w:rPr>
        <w:t xml:space="preserve">LSR Application:</w:t>
      </w:r>
      <w:r>
        <w:t xml:space="preserve"> </w:t>
      </w:r>
      <w:r>
        <w:t xml:space="preserve">While the principles of the 2026 LSR Standard are acknowledged, detailed quantification of specific land-use changes or biogenic carbon flows would require more granular data on the origin and management of any bio-based materials.</w:t>
      </w:r>
    </w:p>
    <w:p>
      <w:pPr>
        <w:numPr>
          <w:ilvl w:val="0"/>
          <w:numId w:val="1022"/>
        </w:numPr>
        <w:pStyle w:val="Compact"/>
      </w:pPr>
      <w:r>
        <w:rPr>
          <w:bCs/>
          <w:b/>
        </w:rPr>
        <w:t xml:space="preserve">Dynamic Factors:</w:t>
      </w:r>
      <w:r>
        <w:t xml:space="preserve"> </w:t>
      </w:r>
      <w:r>
        <w:t xml:space="preserve">Emission factors, especially for electricity grids and transportation, can change over time due to decarbonization efforts or shifts in energy mixes.</w:t>
      </w:r>
    </w:p>
    <w:bookmarkEnd w:id="37"/>
    <w:bookmarkStart w:id="38" w:name="recommendations"/>
    <w:p>
      <w:pPr>
        <w:pStyle w:val="Heading3"/>
      </w:pPr>
      <w:r>
        <w:t xml:space="preserve">3.3. Recommendations</w:t>
      </w:r>
    </w:p>
    <w:p>
      <w:pPr>
        <w:numPr>
          <w:ilvl w:val="0"/>
          <w:numId w:val="1023"/>
        </w:numPr>
        <w:pStyle w:val="Compact"/>
      </w:pPr>
      <w:r>
        <w:rPr>
          <w:bCs/>
          <w:b/>
        </w:rPr>
        <w:t xml:space="preserve">Eco-design Focus:</w:t>
      </w:r>
      <w:r>
        <w:t xml:space="preserve"> </w:t>
      </w:r>
      <w:r>
        <w:t xml:space="preserve">Prioritize design improvements to reduce energy consumption during the product\'s use phase. This could involve more efficient components, smart power management, or longer product lifespans.</w:t>
      </w:r>
    </w:p>
    <w:p>
      <w:pPr>
        <w:numPr>
          <w:ilvl w:val="0"/>
          <w:numId w:val="1023"/>
        </w:numPr>
        <w:pStyle w:val="Compact"/>
      </w:pPr>
      <w:r>
        <w:rPr>
          <w:bCs/>
          <w:b/>
        </w:rPr>
        <w:t xml:space="preserve">Sustainable Sourcing:</w:t>
      </w:r>
      <w:r>
        <w:t xml:space="preserve"> </w:t>
      </w:r>
      <w:r>
        <w:t xml:space="preserve">Investigate opportunities for sourcing lower-carbon materials, including higher recycled content, materials with certified low-carbon footprints, or those produced with renewable energy.</w:t>
      </w:r>
    </w:p>
    <w:p>
      <w:pPr>
        <w:numPr>
          <w:ilvl w:val="0"/>
          <w:numId w:val="1023"/>
        </w:numPr>
        <w:pStyle w:val="Compact"/>
      </w:pPr>
      <w:r>
        <w:rPr>
          <w:bCs/>
          <w:b/>
        </w:rPr>
        <w:t xml:space="preserve">Logistics Optimization:</w:t>
      </w:r>
      <w:r>
        <w:t xml:space="preserve"> </w:t>
      </w:r>
      <w:r>
        <w:t xml:space="preserve">Continuously optimize transportation routes, consolidate shipments, and prioritize lower-emission transport modes where feasible, especially for high-volume or long-distance movements.</w:t>
      </w:r>
    </w:p>
    <w:p>
      <w:pPr>
        <w:numPr>
          <w:ilvl w:val="0"/>
          <w:numId w:val="1023"/>
        </w:numPr>
        <w:pStyle w:val="Compact"/>
      </w:pPr>
      <w:r>
        <w:rPr>
          <w:bCs/>
          <w:b/>
        </w:rPr>
        <w:t xml:space="preserve">Circular Economy Integration:</w:t>
      </w:r>
      <w:r>
        <w:t xml:space="preserve"> </w:t>
      </w:r>
      <w:r>
        <w:t xml:space="preserve">Further enhance the existing take-back programs to maximize material recovery, refurbishment, and remarketing, thereby extending product lifespans and reducing demand for virgin materials.</w:t>
      </w:r>
    </w:p>
    <w:p>
      <w:pPr>
        <w:numPr>
          <w:ilvl w:val="0"/>
          <w:numId w:val="1023"/>
        </w:numPr>
        <w:pStyle w:val="Compact"/>
      </w:pPr>
      <w:r>
        <w:rPr>
          <w:bCs/>
          <w:b/>
        </w:rPr>
        <w:t xml:space="preserve">Data Enhancement:</w:t>
      </w:r>
      <w:r>
        <w:t xml:space="preserve"> </w:t>
      </w:r>
      <w:r>
        <w:t xml:space="preserve">Continuously improve data collection for primary operational data (Scope 1 and 2) and engage with supply chain partners to obtain more specific, primary Scope 3 data for greater accuracy and actionable insights.</w:t>
      </w:r>
    </w:p>
    <w:p>
      <w:r>
        <w:pict>
          <v:rect style="width:0;height:1.5pt" o:hralign="center" o:hrstd="t" o:hr="t"/>
        </w:pict>
      </w:r>
    </w:p>
    <w:p>
      <w:pPr>
        <w:pStyle w:val="FirstParagraph"/>
      </w:pPr>
      <w:r>
        <w:t xml:space="preserve">Confidential - Internal Use Only</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gqyftwmhnw</dc:title>
  <dc:creator/>
  <dc:description>Detailed Product Carbon Footprint (PCF) analysis report for gqyftwmhnw, focusing on GHG Protocol, lifecycle assessment, and Scope 3 compliance for wlgeersiso.</dc:description>
  <dc:language>en</dc:language>
  <cp:keywords/>
  <dcterms:created xsi:type="dcterms:W3CDTF">2026-08-29T08:38:06Z</dcterms:created>
  <dcterms:modified xsi:type="dcterms:W3CDTF">2026-08-29T08:38:06Z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