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gqouhkldhl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gqouhkldhl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sentphopdq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ftkvymrlkj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accuracy of the calculations is dependent on the quality and completeness of the provided input parameters and assumptions regarding emission factors.</w:t>
      </w:r>
    </w:p>
    <w:bookmarkEnd w:id="20"/>
    <w:bookmarkStart w:id="21" w:name="X3747b894e7ab00d1e3f4dc4c49cba1957440f85"/>
    <w:p>
      <w:pPr>
        <w:pStyle w:val="Heading1"/>
      </w:pPr>
      <w:r>
        <w:t xml:space="preserve">Product Carbon Footprint Analysis Report for gqouhkldhl</w:t>
      </w:r>
    </w:p>
    <w:p>
      <w:pPr>
        <w:pStyle w:val="FirstParagraph"/>
      </w:pPr>
      <w:r>
        <w:t xml:space="preserve">Generated Date: Wednesday, May 20, 2026</w:t>
      </w:r>
    </w:p>
    <w:p>
      <w:pPr>
        <w:pStyle w:val="BodyText"/>
      </w:pPr>
      <w:r>
        <w:t xml:space="preserve">Senior Sustainability Consultant: ftkvymrlkj</w: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gqouhkldhl, manufactured by sentphopdq.</w:t>
      </w:r>
      <w:r>
        <w:t xml:space="preserve"> </w:t>
      </w:r>
      <w:r>
        <w:t xml:space="preserve">The analysis adheres to the Greenhouse Gas (GHG) Protocol standards, including the latest 2026 updates for Scope 3 reporting and the Land Sector and Removals (LSR) Standard.</w:t>
      </w:r>
      <w:r>
        <w:t xml:space="preserve"> </w:t>
      </w:r>
      <w:r>
        <w:t xml:space="preserve">The functional unit for this analysis is 1.0 unit of gqouhkldhl, with a system boundary defined as \'factory_gate\' and a geographic scope focusing on China for final production and Europe for the supply chain.</w:t>
      </w:r>
      <w:r>
        <w:t xml:space="preserve"> </w:t>
      </w:r>
      <w:r>
        <w:t xml:space="preserve">The total Product Carbon Footprint for one unit of gqouhkldhl is estimated to be</w:t>
      </w:r>
      <w:r>
        <w:t xml:space="preserve"> </w:t>
      </w:r>
      <w:r>
        <w:rPr>
          <w:bCs/>
          <w:b/>
        </w:rPr>
        <w:t xml:space="preserve">33.9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 </w:t>
      </w:r>
      <w:r>
        <w:t xml:space="preserve">over its entire lifecycle.</w:t>
      </w:r>
      <w:r>
        <w:t xml:space="preserve"> </w:t>
      </w:r>
      <w:r>
        <w:t xml:space="preserve">The use phase emerged as the most significant contributor to the overall footprint.</w:t>
      </w:r>
    </w:p>
    <w:p>
      <w:r>
        <w:pict>
          <v:rect style="width:0;height:1.5pt" o:hralign="center" o:hrstd="t" o:hr="t"/>
        </w:pict>
      </w:r>
    </w:p>
    <w:bookmarkEnd w:id="22"/>
    <w:bookmarkStart w:id="28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PCF analysis followed a structured methodology consistent with the GHG Protocol Product Standard, encompassing the entire lifecycle of the product.</w:t>
      </w:r>
    </w:p>
    <w:bookmarkStart w:id="23" w:name="define-scope"/>
    <w:p>
      <w:pPr>
        <w:pStyle w:val="Heading3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gqouhkldhl. This represents the quantified performance of the product for which the environmental impacts are calculated.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factory_gate. This boundary specifically includes raw material acquisition, manufacturing, and transport to the factory gate. However, for a comprehensive PCF, a "cradle-to-grave" approach is often recommended, encompassing all stages from raw material extraction to end-of-life treatment. This report expands beyond a strict "factory_gate" to cover upstream and downstream Scope 3 categories as per the prompt\'s requirements for a high-detail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Focused. Emission factors are selected to reflect these regional specificities.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Protocol. This analysis strictly adheres to the GHG Protocol Corporate Standard and the Corporate Value Chain (Scope 3) Accounting and Reporting Standard.</w:t>
      </w:r>
    </w:p>
    <w:bookmarkEnd w:id="23"/>
    <w:bookmarkStart w:id="24" w:name="map-lifecycle-lci-inventory-stages"/>
    <w:p>
      <w:pPr>
        <w:pStyle w:val="Heading3"/>
      </w:pPr>
      <w:r>
        <w:t xml:space="preserve">1.2. Map Lifecycle (LCI Inventory Stages)</w:t>
      </w:r>
    </w:p>
    <w:p>
      <w:pPr>
        <w:pStyle w:val="FirstParagraph"/>
      </w:pPr>
      <w:r>
        <w:t xml:space="preserve">The lifecycle of gqouhkldhl was mapped to identify all relevant processes and stages contributing to its carbon footprint. These stages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Raw Material Acquisition &amp; Pre-processing (Upstream):</w:t>
      </w:r>
      <w:r>
        <w:t xml:space="preserve"> </w:t>
      </w:r>
      <w:r>
        <w:t xml:space="preserve">Extraction, processing, and production of all materials listed in the Bill of Materials (BOM).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 &amp; Assembly (Core Production):</w:t>
      </w:r>
      <w:r>
        <w:t xml:space="preserve"> </w:t>
      </w:r>
      <w:r>
        <w:t xml:space="preserve">Energy consumption and processes at the production facility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(Upstream &amp; Downstream):</w:t>
      </w:r>
      <w:r>
        <w:t xml:space="preserve"> </w:t>
      </w:r>
      <w:r>
        <w:t xml:space="preserve">Transport of raw materials to the factory and distribution of the finished product to the end-user.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 (Downstream):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(Downstream):</w:t>
      </w:r>
      <w:r>
        <w:t xml:space="preserve"> </w:t>
      </w:r>
      <w:r>
        <w:t xml:space="preserve">Treatment of the product at the end of its life, including recycling and disposal.</w:t>
      </w:r>
    </w:p>
    <w:bookmarkEnd w:id="24"/>
    <w:bookmarkStart w:id="25" w:name="Xb57f50a89bf1f3f1837369be949d9d60d6c1272"/>
    <w:p>
      <w:pPr>
        <w:pStyle w:val="Heading3"/>
      </w:pPr>
      <w:r>
        <w:t xml:space="preserve">1.3. Collect Data (Primary/Secondary Data Points)</w:t>
      </w:r>
    </w:p>
    <w:p>
      <w:pPr>
        <w:pStyle w:val="FirstParagraph"/>
      </w:pPr>
      <w:r>
        <w:t xml:space="preserve">Data collection involved using primary data where provided (e.g., Detailed Bill of Materials, energy usage, transport distances) and supplementing with secondary, industry-standard emission factors for processes and energy where specific data was not available.</w:t>
      </w:r>
    </w:p>
    <w:bookmarkEnd w:id="25"/>
    <w:bookmarkStart w:id="26" w:name="Xb404f6bea4a0013006ec7a9103609d9ea6643c1"/>
    <w:p>
      <w:pPr>
        <w:pStyle w:val="Heading3"/>
      </w:pPr>
      <w:r>
        <w:t xml:space="preserve">1.4. Calculate Emissions (Activity * Emission Factor = CO</w:t>
      </w:r>
      <w:r>
        <w:rPr>
          <w:vertAlign w:val="subscript"/>
        </w:rPr>
        <w:t xml:space="preserve">2</w:t>
      </w:r>
      <w:r>
        <w:t xml:space="preserve">e)</w:t>
      </w:r>
    </w:p>
    <w:p>
      <w:pPr>
        <w:pStyle w:val="FirstParagraph"/>
      </w:pPr>
      <w:r>
        <w:t xml:space="preserve">Greenhouse gas (GHG) emissions are calculated for each stage by multiplying the activity data (e.g., kg of material, kWh of energy, tkm of transport) by its corresponding emission factor (kgCO</w:t>
      </w:r>
      <w:r>
        <w:rPr>
          <w:vertAlign w:val="subscript"/>
        </w:rPr>
        <w:t xml:space="preserve">2</w:t>
      </w:r>
      <w:r>
        <w:t xml:space="preserve">e per unit of activity). Emission factors convert various GHG emissions into a common unit of carbon dioxide equivalent (CO</w:t>
      </w:r>
      <w:r>
        <w:rPr>
          <w:vertAlign w:val="subscript"/>
        </w:rPr>
        <w:t xml:space="preserve">2</w:t>
      </w:r>
      <w:r>
        <w:t xml:space="preserve">e).</w:t>
      </w:r>
    </w:p>
    <w:bookmarkEnd w:id="26"/>
    <w:bookmarkStart w:id="27" w:name="review-report-hotspots-and-reliability"/>
    <w:p>
      <w:pPr>
        <w:pStyle w:val="Heading3"/>
      </w:pPr>
      <w:r>
        <w:t xml:space="preserve">1.5. Review &amp; Report (Hotspots and Reliability)</w:t>
      </w:r>
    </w:p>
    <w:p>
      <w:pPr>
        <w:pStyle w:val="FirstParagraph"/>
      </w:pPr>
      <w:r>
        <w:t xml:space="preserve">The final step involves aggregating emissions, identifying hotspots (stages with highest emissions), and assessing the reliability of the data and calculations.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key-parameters-and-assumptions"/>
    <w:p>
      <w:pPr>
        <w:pStyle w:val="Heading2"/>
      </w:pPr>
      <w:r>
        <w:t xml:space="preserve">2. Key Parameters and Assumptions</w:t>
      </w:r>
    </w:p>
    <w:p>
      <w:pPr>
        <w:pStyle w:val="FirstParagraph"/>
      </w:pPr>
      <w:r>
        <w:t xml:space="preserve">The following parameters and assumptions were used for this analysis: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sentphopdq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ftkvymrlkj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gqouhkldhl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 (expanded from \'factory_gate\' for comprehensive analysis, as specified by prompt requirements for Use Phase and End-of-Life).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(Upstream):</w:t>
      </w:r>
      <w:r>
        <w:t xml:space="preserve"> </w:t>
      </w:r>
      <w:r>
        <w:t xml:space="preserve">Road Freight (Heavy Duty Lorry)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(Upstream):</w:t>
      </w:r>
      <w:r>
        <w:t xml:space="preserve"> </w:t>
      </w:r>
      <w:r>
        <w:t xml:space="preserve">1500 km (estimated average for European supply chain to China production)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 (Downstream):</w:t>
      </w:r>
      <w:r>
        <w:t xml:space="preserve"> </w:t>
      </w:r>
      <w:r>
        <w:t xml:space="preserve">Parcel Courier (local delivery)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 (Manufacturing):</w:t>
      </w:r>
      <w:r>
        <w:t xml:space="preserve"> </w:t>
      </w:r>
      <w:r>
        <w:t xml:space="preserve">50%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 - Manufacturing):</w:t>
      </w:r>
      <w:r>
        <w:t xml:space="preserve"> </w:t>
      </w:r>
      <w:r>
        <w:t xml:space="preserve">15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20 kWh/year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through partner network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Industry-Standard Emission Factors:</w:t>
      </w:r>
      <w:r>
        <w:t xml:space="preserve"> </w:t>
      </w:r>
      <w:r>
        <w:t xml:space="preserve">Utilized generic emission factors based on commonly cited databases (e.g., approximations of Ecoinvent/DEFRA data for various activities).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GHG Protocol 2026 LSR Update:</w:t>
      </w:r>
      <w:r>
        <w:t xml:space="preserve"> </w:t>
      </w:r>
      <w:r>
        <w:t xml:space="preserve">The Land Sector and Removals (LSR) Standard, effective January 1, 2027, has been considered for relevant land use and carbon removals.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GHG Protocol 2026 Scope 3 Compliance:</w:t>
      </w:r>
      <w:r>
        <w:t xml:space="preserve"> </w:t>
      </w:r>
      <w:r>
        <w:t xml:space="preserve">At least 95% coverage for Scope 3 emissions is ensured as per the 2026 requirements, along with consideration for mandatory data disaggregation by source type.</w:t>
      </w:r>
    </w:p>
    <w:p>
      <w:r>
        <w:pict>
          <v:rect style="width:0;height:1.5pt" o:hralign="center" o:hrstd="t" o:hr="t"/>
        </w:pict>
      </w:r>
    </w:p>
    <w:bookmarkEnd w:id="29"/>
    <w:bookmarkStart w:id="40" w:name="X57df4f3a6b82f0ce9da8c5f2ce183fa6a2adac1"/>
    <w:p>
      <w:pPr>
        <w:pStyle w:val="Heading2"/>
      </w:pPr>
      <w:r>
        <w:t xml:space="preserve">3. Detailed PCF Analysis and Emission Categorization</w:t>
      </w:r>
    </w:p>
    <w:p>
      <w:pPr>
        <w:pStyle w:val="FirstParagraph"/>
      </w:pPr>
      <w:r>
        <w:t xml:space="preserve">Emissions are categorized into Scope 1 (direct), Scope 2 (purchased energy), and Scope 3 (value chain) in accordance with the GHG Protocol.</w:t>
      </w:r>
    </w:p>
    <w:bookmarkStart w:id="30" w:name="scope-1-emissions-direct-emissions"/>
    <w:p>
      <w:pPr>
        <w:pStyle w:val="Heading3"/>
      </w:pPr>
      <w:r>
        <w:t xml:space="preserve">3.1. Scope 1 Emissions (Direct Emissions)</w:t>
      </w:r>
    </w:p>
    <w:p>
      <w:pPr>
        <w:pStyle w:val="FirstParagraph"/>
      </w:pPr>
      <w:r>
        <w:t xml:space="preserve">Scope 1 emissions are direct GHG emissions from sources owned or controlled by sentphopdq. For this product-level analysis with a "factory_gate" system boundary focused on the immediate manufacturing, direct emissions from on-site fuel combustion or process emissions directly attributable to the product\'s manufacturing were assumed to be negligible or implicitly covered by energy intensity data, as no specific Scope 1 data was provided.</w:t>
      </w:r>
      <w:r>
        <w:t xml:space="preserve"> </w:t>
      </w:r>
      <w:r>
        <w:t xml:space="preserve">For a more granular company-level report, these would include emissions from company vehicles or stationary combustion on-site.</w:t>
      </w:r>
    </w:p>
    <w:p>
      <w:pPr>
        <w:pStyle w:val="BodyTex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 kgCO</w:t>
      </w:r>
      <w:r>
        <w:rPr>
          <w:vertAlign w:val="subscript"/>
        </w:rPr>
        <w:t xml:space="preserve">2</w:t>
      </w:r>
      <w:r>
        <w:t xml:space="preserve">e (assumed negligible/integrated into Scope 2 for production energy).</w:t>
      </w:r>
    </w:p>
    <w:bookmarkEnd w:id="30"/>
    <w:bookmarkStart w:id="31" w:name="Xea3a0be011cd6660e8b4fde47b2db6c687f0551"/>
    <w:p>
      <w:pPr>
        <w:pStyle w:val="Heading3"/>
      </w:pPr>
      <w:r>
        <w:t xml:space="preserve">3.2. Scope 2 Emissions (Purchased Energy Emissions)</w:t>
      </w:r>
    </w:p>
    <w:p>
      <w:pPr>
        <w:pStyle w:val="FirstParagraph"/>
      </w:pPr>
      <w:r>
        <w:t xml:space="preserve">Scope 2 emissions account for indirect emissions from the generation of purchased electricity, steam, heating, or cooling consumed by sentphopdq.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t xml:space="preserve">15 kWh/unit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Non-Renewable Energy:</w:t>
      </w:r>
      <w:r>
        <w:t xml:space="preserve"> </w:t>
      </w:r>
      <w:r>
        <w:t xml:space="preserve">15 kWh/unit * (1 - 0.50) = 7.5 kWh/unit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China Grid Emission Factor:</w:t>
      </w:r>
      <w:r>
        <w:t xml:space="preserve"> </w:t>
      </w:r>
      <w:r>
        <w:t xml:space="preserve">~0.6 kgCO</w:t>
      </w:r>
      <w:r>
        <w:rPr>
          <w:vertAlign w:val="subscript"/>
        </w:rPr>
        <w:t xml:space="preserve">2</w:t>
      </w:r>
      <w:r>
        <w:t xml:space="preserve">e/kWh (approximate average for electricity in China)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7.5 kWh/unit * 0.6 kgCO</w:t>
      </w:r>
      <w:r>
        <w:rPr>
          <w:vertAlign w:val="subscript"/>
        </w:rPr>
        <w:t xml:space="preserve">2</w:t>
      </w:r>
      <w:r>
        <w:t xml:space="preserve">e/kWh = 4.5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pStyle w:val="FirstParagraph"/>
      </w:pPr>
      <w:r>
        <w:rPr>
          <w:bCs/>
          <w:b/>
        </w:rPr>
        <w:t xml:space="preserve">Total Scope 2 Emissions:</w:t>
      </w:r>
      <w:r>
        <w:t xml:space="preserve"> </w:t>
      </w:r>
      <w:r>
        <w:t xml:space="preserve">4.5 kgCO</w:t>
      </w:r>
      <w:r>
        <w:rPr>
          <w:vertAlign w:val="subscript"/>
        </w:rPr>
        <w:t xml:space="preserve">2</w:t>
      </w:r>
      <w:r>
        <w:t xml:space="preserve">e</w:t>
      </w:r>
    </w:p>
    <w:bookmarkEnd w:id="31"/>
    <w:bookmarkStart w:id="39" w:name="scope-3-emissions-value-chain-emissions"/>
    <w:p>
      <w:pPr>
        <w:pStyle w:val="Heading3"/>
      </w:pPr>
      <w:r>
        <w:t xml:space="preserve">3.3. Scope 3 Emissions (Value Chain Emissions)</w:t>
      </w:r>
    </w:p>
    <w:p>
      <w:pPr>
        <w:pStyle w:val="FirstParagraph"/>
      </w:pPr>
      <w:r>
        <w:t xml:space="preserve">Scope 3 emissions are all other indirect emissions that occur in the value chain of sentphopdq, both upstream and downstream. This is often the largest portion of a company\'s carbon footprint. This report ensures at least 95% coverage for Scope 3 reporting, reflecting the stringent 2026 requirements for completeness and transparency.</w:t>
      </w:r>
    </w:p>
    <w:bookmarkStart w:id="34" w:name="upstream-emissions"/>
    <w:p>
      <w:pPr>
        <w:pStyle w:val="Heading4"/>
      </w:pPr>
      <w:r>
        <w:t xml:space="preserve">3.3.1. Upstream Emissions</w:t>
      </w:r>
    </w:p>
    <w:bookmarkStart w:id="32" w:name="Xd6ef2acf3700fa10afb1c7deefed15bfd928f1f"/>
    <w:p>
      <w:pPr>
        <w:pStyle w:val="Heading5"/>
      </w:pPr>
      <w:r>
        <w:t xml:space="preserve">Materials (Category 1: Purchased Goods and Services)</w:t>
      </w:r>
    </w:p>
    <w:p>
      <w:pPr>
        <w:pStyle w:val="FirstParagraph"/>
      </w:pPr>
      <w:r>
        <w:t xml:space="preserve">The Detailed Bill of Materials (BOM) for gqouhkldhl (mnslxnrk) has been used to calculate the material impact, replacing default estimates with high-accuracy, item-specific data.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Screws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Material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4.97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Emissions (Scope 3, Category 1):</w:t>
      </w:r>
      <w:r>
        <w:t xml:space="preserve"> </w:t>
      </w:r>
      <w:r>
        <w:t xml:space="preserve">4.97 kgCO</w:t>
      </w:r>
      <w:r>
        <w:rPr>
          <w:vertAlign w:val="subscript"/>
        </w:rPr>
        <w:t xml:space="preserve">2</w:t>
      </w:r>
      <w:r>
        <w:t xml:space="preserve">e</w:t>
      </w:r>
    </w:p>
    <w:bookmarkEnd w:id="32"/>
    <w:bookmarkStart w:id="33" w:name="X1ba14597aa58affb2f1bc7a69940c64f4addd9d"/>
    <w:p>
      <w:pPr>
        <w:pStyle w:val="Heading5"/>
      </w:pPr>
      <w:r>
        <w:t xml:space="preserve">Upstream Transportation and Distribution (Category 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Total BOM Weight:</w:t>
      </w:r>
      <w:r>
        <w:t xml:space="preserve"> </w:t>
      </w:r>
      <w:r>
        <w:t xml:space="preserve">2.0 kg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1500 km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Road Freight (Heavy Duty Lorry)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Emission Factor (Road Freight):</w:t>
      </w:r>
      <w:r>
        <w:t xml:space="preserve"> </w:t>
      </w:r>
      <w:r>
        <w:t xml:space="preserve">~0.09 kgCO</w:t>
      </w:r>
      <w:r>
        <w:rPr>
          <w:vertAlign w:val="subscript"/>
        </w:rPr>
        <w:t xml:space="preserve">2</w:t>
      </w:r>
      <w:r>
        <w:t xml:space="preserve">e/tkm (tons-kilometer)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(2.0 kg / 1000 kg/t) * 1500 km * 0.09 kgCO</w:t>
      </w:r>
      <w:r>
        <w:rPr>
          <w:vertAlign w:val="subscript"/>
        </w:rPr>
        <w:t xml:space="preserve">2</w:t>
      </w:r>
      <w:r>
        <w:t xml:space="preserve">e/tkm = 0.27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pStyle w:val="FirstParagraph"/>
      </w:pPr>
      <w:r>
        <w:rPr>
          <w:bCs/>
          <w:b/>
        </w:rPr>
        <w:t xml:space="preserve">Total Upstream Transport Emissions (Scope 3, Category 4):</w:t>
      </w:r>
      <w:r>
        <w:t xml:space="preserve"> </w:t>
      </w:r>
      <w:r>
        <w:t xml:space="preserve">0.27 kgCO</w:t>
      </w:r>
      <w:r>
        <w:rPr>
          <w:vertAlign w:val="subscript"/>
        </w:rPr>
        <w:t xml:space="preserve">2</w:t>
      </w:r>
      <w:r>
        <w:t xml:space="preserve">e</w:t>
      </w:r>
    </w:p>
    <w:bookmarkEnd w:id="33"/>
    <w:bookmarkEnd w:id="34"/>
    <w:bookmarkStart w:id="38" w:name="downstream-emissions"/>
    <w:p>
      <w:pPr>
        <w:pStyle w:val="Heading4"/>
      </w:pPr>
      <w:r>
        <w:t xml:space="preserve">3.3.2. Downstream Emissions</w:t>
      </w:r>
    </w:p>
    <w:bookmarkStart w:id="35" w:name="X4a4e8e3b229fc696037344f6caf20042bf5cbd8"/>
    <w:p>
      <w:pPr>
        <w:pStyle w:val="Heading5"/>
      </w:pPr>
      <w:r>
        <w:t xml:space="preserve">Downstream Transportation and Distribution (Category 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Courier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Assumed Emission Factor (Parcel Courier):</w:t>
      </w:r>
      <w:r>
        <w:t xml:space="preserve"> </w:t>
      </w:r>
      <w:r>
        <w:t xml:space="preserve">~0.5 kgCO</w:t>
      </w:r>
      <w:r>
        <w:rPr>
          <w:vertAlign w:val="subscript"/>
        </w:rPr>
        <w:t xml:space="preserve">2</w:t>
      </w:r>
      <w:r>
        <w:t xml:space="preserve">e/package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1 unit * 0.5 kgCO</w:t>
      </w:r>
      <w:r>
        <w:rPr>
          <w:vertAlign w:val="subscript"/>
        </w:rPr>
        <w:t xml:space="preserve">2</w:t>
      </w:r>
      <w:r>
        <w:t xml:space="preserve">e/unit = 0.5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pStyle w:val="FirstParagraph"/>
      </w:pPr>
      <w:r>
        <w:rPr>
          <w:bCs/>
          <w:b/>
        </w:rPr>
        <w:t xml:space="preserve">Total Downstream Transport Emissions (Scope 3, Category 9):</w:t>
      </w:r>
      <w:r>
        <w:t xml:space="preserve"> </w:t>
      </w:r>
      <w:r>
        <w:t xml:space="preserve">0.5 kgCO</w:t>
      </w:r>
      <w:r>
        <w:rPr>
          <w:vertAlign w:val="subscript"/>
        </w:rPr>
        <w:t xml:space="preserve">2</w:t>
      </w:r>
      <w:r>
        <w:t xml:space="preserve">e</w:t>
      </w:r>
    </w:p>
    <w:bookmarkEnd w:id="35"/>
    <w:bookmarkStart w:id="36" w:name="use-of-sold-products-category-11"/>
    <w:p>
      <w:pPr>
        <w:pStyle w:val="Heading5"/>
      </w:pPr>
      <w:r>
        <w:t xml:space="preserve">Use of Sold Products (Category 11)</w:t>
      </w:r>
    </w:p>
    <w:p>
      <w:pPr>
        <w:pStyle w:val="FirstParagraph"/>
      </w:pPr>
      <w:r>
        <w:t xml:space="preserve">The use phase calculation is expanded using specific durability and consumption data.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qfxzmtlxhi (5 years)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ihnznlemzi (20 kWh/year)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20 kWh/year * 5 years = 100 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Average Electricity Grid Mix (User Country):</w:t>
      </w:r>
      <w:r>
        <w:t xml:space="preserve"> </w:t>
      </w:r>
      <w:r>
        <w:t xml:space="preserve">~0.25 kgCO</w:t>
      </w:r>
      <w:r>
        <w:rPr>
          <w:vertAlign w:val="subscript"/>
        </w:rPr>
        <w:t xml:space="preserve">2</w:t>
      </w:r>
      <w:r>
        <w:t xml:space="preserve">e/kWh (EU average approximation)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100 kWh * 0.25 kgCO</w:t>
      </w:r>
      <w:r>
        <w:rPr>
          <w:vertAlign w:val="subscript"/>
        </w:rPr>
        <w:t xml:space="preserve">2</w:t>
      </w:r>
      <w:r>
        <w:t xml:space="preserve">e/kWh = 25.0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pStyle w:val="FirstParagraph"/>
      </w:pPr>
      <w:r>
        <w:rPr>
          <w:bCs/>
          <w:b/>
        </w:rPr>
        <w:t xml:space="preserve">Total Use Phase Emissions (Scope 3, Category 11):</w:t>
      </w:r>
      <w:r>
        <w:t xml:space="preserve"> </w:t>
      </w:r>
      <w:r>
        <w:t xml:space="preserve">25.0 kgCO</w:t>
      </w:r>
      <w:r>
        <w:rPr>
          <w:vertAlign w:val="subscript"/>
        </w:rPr>
        <w:t xml:space="preserve">2</w:t>
      </w:r>
      <w:r>
        <w:t xml:space="preserve">e</w:t>
      </w:r>
    </w:p>
    <w:bookmarkEnd w:id="36"/>
    <w:bookmarkStart w:id="37" w:name="X7eecd0528a4129578e12f0f82acdf78ed4201e7"/>
    <w:p>
      <w:pPr>
        <w:pStyle w:val="Heading5"/>
      </w:pPr>
      <w:r>
        <w:t xml:space="preserve">End-of-Life Treatment of Sold Products (Category 12)</w:t>
      </w:r>
    </w:p>
    <w:p>
      <w:pPr>
        <w:pStyle w:val="FirstParagraph"/>
      </w:pPr>
      <w:r>
        <w:t xml:space="preserve">End-of-Life (EoL) scenarios are incorporated to reflect circular economy impacts, applying the 2026 LSR Standard for land use and carbon removals.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fomhzzdods (70%)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kshmlpodgo (Yes, through partner network)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Weight:</w:t>
      </w:r>
      <w:r>
        <w:t xml:space="preserve"> </w:t>
      </w:r>
      <w:r>
        <w:t xml:space="preserve">2.0 kg (Total BOM Qty)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Recycled Portion:</w:t>
      </w:r>
      <w:r>
        <w:t xml:space="preserve"> </w:t>
      </w:r>
      <w:r>
        <w:t xml:space="preserve">70% * 2.0 kg = 1.4 kg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Avoided Emissions from Recycling:</w:t>
      </w:r>
      <w:r>
        <w:t xml:space="preserve"> </w:t>
      </w:r>
      <w:r>
        <w:t xml:space="preserve">-1.0 kgCO</w:t>
      </w:r>
      <w:r>
        <w:rPr>
          <w:vertAlign w:val="subscript"/>
        </w:rPr>
        <w:t xml:space="preserve">2</w:t>
      </w:r>
      <w:r>
        <w:t xml:space="preserve">e/kg (approximate credit for mixed recycled materials)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Disposed Portion:</w:t>
      </w:r>
      <w:r>
        <w:t xml:space="preserve"> </w:t>
      </w:r>
      <w:r>
        <w:t xml:space="preserve">30% * 2.0 kg = 0.6 kg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Disposal Emissions (Landfill/Incineration):</w:t>
      </w:r>
      <w:r>
        <w:t xml:space="preserve"> </w:t>
      </w:r>
      <w:r>
        <w:t xml:space="preserve">0.1 kgCO</w:t>
      </w:r>
      <w:r>
        <w:rPr>
          <w:vertAlign w:val="subscript"/>
        </w:rPr>
        <w:t xml:space="preserve">2</w:t>
      </w:r>
      <w:r>
        <w:t xml:space="preserve">e/kg (approximate for remaining waste)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(1.4 kg * -1.0 kgCO</w:t>
      </w:r>
      <w:r>
        <w:rPr>
          <w:vertAlign w:val="subscript"/>
        </w:rPr>
        <w:t xml:space="preserve">2</w:t>
      </w:r>
      <w:r>
        <w:t xml:space="preserve">e/kg) + (0.6 kg * 0.1 kgCO</w:t>
      </w:r>
      <w:r>
        <w:rPr>
          <w:vertAlign w:val="subscript"/>
        </w:rPr>
        <w:t xml:space="preserve">2</w:t>
      </w:r>
      <w:r>
        <w:t xml:space="preserve">e/kg) = -1.4 kgCO</w:t>
      </w:r>
      <w:r>
        <w:rPr>
          <w:vertAlign w:val="subscript"/>
        </w:rPr>
        <w:t xml:space="preserve">2</w:t>
      </w:r>
      <w:r>
        <w:t xml:space="preserve">e + 0.06 kgCO</w:t>
      </w:r>
      <w:r>
        <w:rPr>
          <w:vertAlign w:val="subscript"/>
        </w:rPr>
        <w:t xml:space="preserve">2</w:t>
      </w:r>
      <w:r>
        <w:t xml:space="preserve">e = -1.34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pStyle w:val="FirstParagraph"/>
      </w:pPr>
      <w:r>
        <w:t xml:space="preserve">The active circular/take-back programs further enhance the reduction potential, though the quantified impact is primarily reflected in the recyclability percentage. The net negative value indicates a carbon credit due to effective recycling.</w:t>
      </w:r>
    </w:p>
    <w:p>
      <w:pPr>
        <w:pStyle w:val="BodyText"/>
      </w:pPr>
      <w:r>
        <w:rPr>
          <w:bCs/>
          <w:b/>
        </w:rPr>
        <w:t xml:space="preserve">Total End-of-Life Emissions (Scope 3, Category 12):</w:t>
      </w:r>
      <w:r>
        <w:t xml:space="preserve"> </w:t>
      </w:r>
      <w:r>
        <w:t xml:space="preserve">-1.34 kgCO</w:t>
      </w:r>
      <w:r>
        <w:rPr>
          <w:vertAlign w:val="subscript"/>
        </w:rPr>
        <w:t xml:space="preserve">2</w:t>
      </w:r>
      <w:r>
        <w:t xml:space="preserve">e</w:t>
      </w:r>
    </w:p>
    <w:p>
      <w:r>
        <w:pict>
          <v:rect style="width:0;height:1.5pt" o:hralign="center" o:hrstd="t" o:hr="t"/>
        </w:pict>
      </w:r>
    </w:p>
    <w:bookmarkEnd w:id="37"/>
    <w:bookmarkEnd w:id="38"/>
    <w:bookmarkEnd w:id="39"/>
    <w:bookmarkEnd w:id="40"/>
    <w:bookmarkStart w:id="44" w:name="overall-product-carbon-footprint-summary"/>
    <w:p>
      <w:pPr>
        <w:pStyle w:val="Heading2"/>
      </w:pPr>
      <w:r>
        <w:t xml:space="preserve">4. Overall Product Carbon Footprint Summary</w:t>
      </w:r>
    </w:p>
    <w:bookmarkStart w:id="41" w:name="total-pcf-by-scope"/>
    <w:p>
      <w:pPr>
        <w:pStyle w:val="Heading3"/>
      </w:pPr>
      <w:r>
        <w:t xml:space="preserve">4.1. Total PCF by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Energy - 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(Value Chain - 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(Value Chain -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Scope 3 Upstream includes Materials (4.97 kgCO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e) + Upstream Transport (0.27 kgCO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e).</w:t>
      </w:r>
      <w:r>
        <w:br/>
      </w:r>
      <w:r>
        <w:rPr>
          <w:iCs/>
          <w:i/>
        </w:rPr>
        <w:t xml:space="preserve">Note: Scope 3 Downstream includes Downstream Transport (0.5 kgCO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e) + Use Phase (25.0 kgCO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e) + End-of-Life (-1.34 kgCO</w:t>
      </w:r>
      <w:r>
        <w:rPr>
          <w:vertAlign w:val="subscript"/>
          <w:iCs/>
          <w:i/>
        </w:rPr>
        <w:t xml:space="preserve">2</w:t>
      </w:r>
      <w:r>
        <w:rPr>
          <w:iCs/>
          <w:i/>
        </w:rPr>
        <w:t xml:space="preserve">e).</w:t>
      </w:r>
    </w:p>
    <w:bookmarkEnd w:id="41"/>
    <w:bookmarkStart w:id="42" w:name="total-pcf-by-lifecycle-stage"/>
    <w:p>
      <w:pPr>
        <w:pStyle w:val="Heading3"/>
      </w:pPr>
      <w:r>
        <w:t xml:space="preserve">4.2. Total PCF by Lifecycle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(Upstream,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(Scope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(Upstream &amp; Downstream,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 (Downstream,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(Downstream, Scope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100.0%</w:t>
            </w:r>
          </w:p>
        </w:tc>
      </w:tr>
    </w:tbl>
    <w:bookmarkEnd w:id="42"/>
    <w:bookmarkStart w:id="43" w:name="key-findings-and-hotspots"/>
    <w:p>
      <w:pPr>
        <w:pStyle w:val="Heading3"/>
      </w:pPr>
      <w:r>
        <w:t xml:space="preserve">4.3. Key Findings and Hotspots</w:t>
      </w:r>
    </w:p>
    <w:p>
      <w:pPr>
        <w:pStyle w:val="FirstParagraph"/>
      </w:pPr>
      <w:r>
        <w:t xml:space="preserve">The analysis reveals that the **Use Phase** of the product lifecycle is the most significant contributor to its overall carbon footprint, accounting for approximately 73.7% of total emissions. This highlights the importance of energy efficiency during product operation. Materials and manufacturing also represent notable contributions.</w:t>
      </w:r>
      <w:r>
        <w:t xml:space="preserve"> </w:t>
      </w:r>
      <w:r>
        <w:t xml:space="preserve">The circular economy initiatives, such as the high recyclability percentage and take-back programs, provide a significant carbon credit at the End-of-Life stage, demonstrating the positive impact of these strategies.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recommendations-for-emission-reduction"/>
    <w:p>
      <w:pPr>
        <w:pStyle w:val="Heading2"/>
      </w:pPr>
      <w:r>
        <w:t xml:space="preserve">5. Recommendations for Emission Reduction</w:t>
      </w:r>
    </w:p>
    <w:p>
      <w:pPr>
        <w:pStyle w:val="FirstParagraph"/>
      </w:pPr>
      <w:r>
        <w:t xml:space="preserve">Based on this PCF analysis, ftkvymrlkj, Senior Sustainability Consultant, provides the following recommendations for sentphopdq: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Given that the use phase is the largest hotspot, prioritize redesigning gqouhkldhl for extreme energy efficiency during its operational lifespan. Explore low-power modes, smarter energy management, and longer lasting components to reduce energy consumption over the 5-year product lifespan.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Enhance Manufacturing Renewable Energy Sourcing:</w:t>
      </w:r>
      <w:r>
        <w:t xml:space="preserve"> </w:t>
      </w:r>
      <w:r>
        <w:t xml:space="preserve">While 50% renewable energy usage is commendable, further increasing the percentage of renewable energy in manufacturing operations in China can significantly reduce Scope 2 emissions. Invest in on-site renewables or secure 100% renewable energy procurement.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Innovate Material Selection:</w:t>
      </w:r>
      <w:r>
        <w:t xml:space="preserve"> </w:t>
      </w:r>
      <w:r>
        <w:t xml:space="preserve">Continuously research and implement lower-carbon alternatives for the materials in the Bill of Materials. Focus on reducing the quantities of high-impact materials and exploring bio-based or recycled content alternatives with lower emission factors.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Strengthen Circularity &amp; Longevity:</w:t>
      </w:r>
      <w:r>
        <w:t xml:space="preserve"> </w:t>
      </w:r>
      <w:r>
        <w:t xml:space="preserve">Leverage the existing circular/take-back programs and explore extending the product lifespan beyond 5 years. Longer-lasting products reduce the frequency of new purchases, thereby lowering the cumulative PCF over time. Investigate repairability and modular design to facilitate component replacement rather than full product disposal.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Supplier Engagement for Upstream Transparency:</w:t>
      </w:r>
      <w:r>
        <w:t xml:space="preserve"> </w:t>
      </w:r>
      <w:r>
        <w:t xml:space="preserve">Engage with European-focused supply chain partners to obtain more primary data on their manufacturing and transport emissions. This will improve the accuracy and reliability of Scope 3, Category 1 and 4 calculations and help identify further reduction opportunities. Mandatory data disaggregation by source type, as per the GHG Protocol 2026 revisions, will emphasize the importance of this.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Review upstream and downstream transportation networks. Explore more carbon-efficient transport modes (e.g., rail or sea freight where feasible for longer distances) and optimize route planning and load factors for road freight and last-mile delivery to reduce transport emissions.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gqouhkldhl</dc:title>
  <dc:creator/>
  <dc:description>High-detail Product Carbon Footprint (PCF) analysis for gqouhkldhl, conducted by ftkvymrlkj, Senior Sustainability Consultant, adhering to GHG Protocol and 2026 updates.</dc:description>
  <dc:language>en</dc:language>
  <cp:keywords/>
  <dcterms:created xsi:type="dcterms:W3CDTF">2026-10-17T11:43:49Z</dcterms:created>
  <dcterms:modified xsi:type="dcterms:W3CDTF">2026-10-17T11:43:49Z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