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Product</w:t>
      </w:r>
      <w:r>
        <w:t xml:space="preserve"> </w:t>
      </w:r>
      <w:r>
        <w:t xml:space="preserve">Carbon</w:t>
      </w:r>
      <w:r>
        <w:t xml:space="preserve"> </w:t>
      </w:r>
      <w:r>
        <w:t xml:space="preserve">Footprint</w:t>
      </w:r>
      <w:r>
        <w:t xml:space="preserve"> </w:t>
      </w:r>
      <w:r>
        <w:t xml:space="preserve">Report</w:t>
      </w:r>
      <w:r>
        <w:t xml:space="preserve"> </w:t>
      </w:r>
      <w:r>
        <w:t xml:space="preserve">for</w:t>
      </w:r>
      <w:r>
        <w:t xml:space="preserve"> </w:t>
      </w:r>
      <w:r>
        <w:t xml:space="preserve">gqouhkldhl</w:t>
      </w:r>
    </w:p>
    <w:p>
      <w:pPr>
        <w:pStyle w:val="FirstParagraph"/>
      </w:pPr>
      <w:r>
        <w:t xml:space="preserve">carboncalcpcf.com</w:t>
      </w:r>
    </w:p>
    <w:bookmarkStart w:id="20" w:name="product-carbon-footprint-analysis-report"/>
    <w:p>
      <w:pPr>
        <w:pStyle w:val="Heading1"/>
      </w:pPr>
      <w:r>
        <w:t xml:space="preserve">Product Carbon Footprint Analysis Report</w:t>
      </w:r>
    </w:p>
    <w:p>
      <w:pPr>
        <w:pStyle w:val="FirstParagraph"/>
      </w:pPr>
      <w:r>
        <w:rPr>
          <w:bCs/>
          <w:b/>
        </w:rPr>
        <w:t xml:space="preserve">Product:</w:t>
      </w:r>
      <w:r>
        <w:t xml:space="preserve"> </w:t>
      </w:r>
      <w:r>
        <w:t xml:space="preserve">gqouhkldhl</w:t>
      </w:r>
    </w:p>
    <w:p>
      <w:pPr>
        <w:pStyle w:val="BodyText"/>
      </w:pPr>
      <w:r>
        <w:rPr>
          <w:bCs/>
          <w:b/>
        </w:rPr>
        <w:t xml:space="preserve">Company:</w:t>
      </w:r>
      <w:r>
        <w:t xml:space="preserve"> </w:t>
      </w:r>
      <w:r>
        <w:t xml:space="preserve">sentphopdq</w:t>
      </w:r>
    </w:p>
    <w:p>
      <w:pPr>
        <w:pStyle w:val="BodyText"/>
      </w:pPr>
      <w:r>
        <w:rPr>
          <w:bCs/>
          <w:b/>
        </w:rPr>
        <w:t xml:space="preserve">Senior Sustainability Consultant:</w:t>
      </w:r>
      <w:r>
        <w:t xml:space="preserve"> </w:t>
      </w:r>
      <w:r>
        <w:t xml:space="preserve">ftkvymrlkj</w:t>
      </w:r>
    </w:p>
    <w:p>
      <w:pPr>
        <w:pStyle w:val="BodyText"/>
      </w:pPr>
      <w:r>
        <w:rPr>
          <w:bCs/>
          <w:b/>
        </w:rPr>
        <w:t xml:space="preserve">Protocol Data (Accounting Standard):</w:t>
      </w:r>
      <w:r>
        <w:t xml:space="preserve"> </w:t>
      </w:r>
      <w:r>
        <w:t xml:space="preserve">GHG Protocol</w:t>
      </w:r>
    </w:p>
    <w:p>
      <w:pPr>
        <w:pStyle w:val="BodyText"/>
      </w:pPr>
      <w:r>
        <w:t xml:space="preserve">Disclaimer: This report is generated based on available data and industry standards.</w:t>
      </w:r>
      <w:r>
        <w:t xml:space="preserve"> </w:t>
      </w:r>
      <w:r>
        <w:t xml:space="preserve">The accuracy of the calculations is dependent on the quality and completeness of the provided input parameters and assumptions regarding emission factors.</w:t>
      </w:r>
    </w:p>
    <w:bookmarkEnd w:id="20"/>
    <w:bookmarkStart w:id="21" w:name="X3747b894e7ab00d1e3f4dc4c49cba1957440f85"/>
    <w:p>
      <w:pPr>
        <w:pStyle w:val="Heading1"/>
      </w:pPr>
      <w:r>
        <w:t xml:space="preserve">Product Carbon Footprint Analysis Report for gqouhkldhl</w:t>
      </w:r>
    </w:p>
    <w:p>
      <w:pPr>
        <w:pStyle w:val="FirstParagraph"/>
      </w:pPr>
      <w:r>
        <w:t xml:space="preserve">Generated Date: Wednesday, May 20, 2026</w:t>
      </w:r>
    </w:p>
    <w:p>
      <w:pPr>
        <w:pStyle w:val="BodyText"/>
      </w:pPr>
      <w:r>
        <w:t xml:space="preserve">Senior Sustainability Consultant: ftkvymrlkj</w:t>
      </w:r>
    </w:p>
    <w:bookmarkEnd w:id="21"/>
    <w:bookmarkStart w:id="22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report presents a high-detail Product Carbon Footprint (PCF) analysis for the product gqouhkldhl, manufactured by sentphopdq.</w:t>
      </w:r>
      <w:r>
        <w:t xml:space="preserve"> </w:t>
      </w:r>
      <w:r>
        <w:t xml:space="preserve">The analysis adheres to the Greenhouse Gas (GHG) Protocol standards, including the latest 2026 updates for Scope 3 reporting and the Land Sector and Removals (LSR) Standard.</w:t>
      </w:r>
      <w:r>
        <w:t xml:space="preserve"> </w:t>
      </w:r>
      <w:r>
        <w:t xml:space="preserve">The functional unit for this analysis is 1.0 unit of gqouhkldhl, with a system boundary defined as \'factory_gate\' and a geographic scope focusing on China for final production and Europe for the supply chain.</w:t>
      </w:r>
      <w:r>
        <w:t xml:space="preserve"> </w:t>
      </w:r>
      <w:r>
        <w:t xml:space="preserve">The total Product Carbon Footprint for one unit of gqouhkldhl is estimated to be</w:t>
      </w:r>
      <w:r>
        <w:t xml:space="preserve"> </w:t>
      </w:r>
      <w:r>
        <w:rPr>
          <w:bCs/>
          <w:b/>
        </w:rPr>
        <w:t xml:space="preserve">33.9 kgCO</w:t>
      </w:r>
      <w:r>
        <w:rPr>
          <w:vertAlign w:val="subscript"/>
          <w:bCs/>
          <w:b/>
        </w:rPr>
        <w:t xml:space="preserve">2</w:t>
      </w:r>
      <w:r>
        <w:rPr>
          <w:bCs/>
          <w:b/>
        </w:rPr>
        <w:t xml:space="preserve">e</w:t>
      </w:r>
      <w:r>
        <w:t xml:space="preserve"> </w:t>
      </w:r>
      <w:r>
        <w:t xml:space="preserve">over its entire lifecycle.</w:t>
      </w:r>
      <w:r>
        <w:t xml:space="preserve"> </w:t>
      </w:r>
      <w:r>
        <w:t xml:space="preserve">The use phase emerged as the most significant contributor to the overall footprint.</w:t>
      </w:r>
    </w:p>
    <w:p>
      <w:r>
        <w:pict>
          <v:rect style="width:0;height:1.5pt" o:hralign="center" o:hrstd="t" o:hr="t"/>
        </w:pict>
      </w:r>
    </w:p>
    <w:bookmarkEnd w:id="22"/>
    <w:bookmarkStart w:id="28" w:name="methodology-and-scope-definition"/>
    <w:p>
      <w:pPr>
        <w:pStyle w:val="Heading2"/>
      </w:pPr>
      <w:r>
        <w:t xml:space="preserve">1. Methodology and Scope Definition</w:t>
      </w:r>
    </w:p>
    <w:p>
      <w:pPr>
        <w:pStyle w:val="FirstParagraph"/>
      </w:pPr>
      <w:r>
        <w:t xml:space="preserve">The PCF analysis followed a structured methodology consistent with the GHG Protocol Product Standard, encompassing the entire lifecycle of the product.</w:t>
      </w:r>
    </w:p>
    <w:bookmarkStart w:id="23" w:name="define-scope"/>
    <w:p>
      <w:pPr>
        <w:pStyle w:val="Heading3"/>
      </w:pPr>
      <w:r>
        <w:t xml:space="preserve">1.1. Define Scope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Functional Unit:</w:t>
      </w:r>
      <w:r>
        <w:t xml:space="preserve"> </w:t>
      </w:r>
      <w:r>
        <w:t xml:space="preserve">1.0 unit of gqouhkldhl. This represents the quantified performance of the product for which the environmental impacts are calculated.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System Boundary:</w:t>
      </w:r>
      <w:r>
        <w:t xml:space="preserve"> </w:t>
      </w:r>
      <w:r>
        <w:t xml:space="preserve">factory_gate. This boundary specifically includes raw material acquisition, manufacturing, and transport to the factory gate. However, for a comprehensive PCF, a "cradle-to-grave" approach is often recommended, encompassing all stages from raw material extraction to end-of-life treatment. This report expands beyond a strict "factory_gate" to cover upstream and downstream Scope 3 categories as per the prompt\'s requirements for a high-detail analysis.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Geographic Scope:</w:t>
      </w:r>
      <w:r>
        <w:t xml:space="preserve"> </w:t>
      </w:r>
      <w:r>
        <w:t xml:space="preserve">Final Production Country: China, Supply Chain Focus: Europe Focused. Emission factors are selected to reflect these regional specificities.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Accounting Standard:</w:t>
      </w:r>
      <w:r>
        <w:t xml:space="preserve"> </w:t>
      </w:r>
      <w:r>
        <w:t xml:space="preserve">GHG Protocol. This analysis strictly adheres to the GHG Protocol Corporate Standard and the Corporate Value Chain (Scope 3) Accounting and Reporting Standard.</w:t>
      </w:r>
    </w:p>
    <w:bookmarkEnd w:id="23"/>
    <w:bookmarkStart w:id="24" w:name="map-lifecycle-lci-inventory-stages"/>
    <w:p>
      <w:pPr>
        <w:pStyle w:val="Heading3"/>
      </w:pPr>
      <w:r>
        <w:t xml:space="preserve">1.2. Map Lifecycle (LCI Inventory Stages)</w:t>
      </w:r>
    </w:p>
    <w:p>
      <w:pPr>
        <w:pStyle w:val="FirstParagraph"/>
      </w:pPr>
      <w:r>
        <w:t xml:space="preserve">The lifecycle of gqouhkldhl was mapped to identify all relevant processes and stages contributing to its carbon footprint. These stages include: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Raw Material Acquisition &amp; Pre-processing (Upstream):</w:t>
      </w:r>
      <w:r>
        <w:t xml:space="preserve"> </w:t>
      </w:r>
      <w:r>
        <w:t xml:space="preserve">Extraction, processing, and production of all materials listed in the Bill of Materials (BOM).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Manufacturing &amp; Assembly (Core Production):</w:t>
      </w:r>
      <w:r>
        <w:t xml:space="preserve"> </w:t>
      </w:r>
      <w:r>
        <w:t xml:space="preserve">Energy consumption and processes at the production facility in China.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Transportation (Upstream &amp; Downstream):</w:t>
      </w:r>
      <w:r>
        <w:t xml:space="preserve"> </w:t>
      </w:r>
      <w:r>
        <w:t xml:space="preserve">Transport of raw materials to the factory and distribution of the finished product to the end-user.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Use Phase (Downstream):</w:t>
      </w:r>
      <w:r>
        <w:t xml:space="preserve"> </w:t>
      </w:r>
      <w:r>
        <w:t xml:space="preserve">Energy consumption during the product\'s operational lifespan.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End-of-Life (Downstream):</w:t>
      </w:r>
      <w:r>
        <w:t xml:space="preserve"> </w:t>
      </w:r>
      <w:r>
        <w:t xml:space="preserve">Treatment of the product at the end of its life, including recycling and disposal.</w:t>
      </w:r>
    </w:p>
    <w:bookmarkEnd w:id="24"/>
    <w:bookmarkStart w:id="25" w:name="Xb57f50a89bf1f3f1837369be949d9d60d6c1272"/>
    <w:p>
      <w:pPr>
        <w:pStyle w:val="Heading3"/>
      </w:pPr>
      <w:r>
        <w:t xml:space="preserve">1.3. Collect Data (Primary/Secondary Data Points)</w:t>
      </w:r>
    </w:p>
    <w:p>
      <w:pPr>
        <w:pStyle w:val="FirstParagraph"/>
      </w:pPr>
      <w:r>
        <w:t xml:space="preserve">Data collection involved using primary data where provided (e.g., Detailed Bill of Materials, energy usage, transport distances) and supplementing with secondary, industry-standard emission factors for processes and energy where specific data was not available.</w:t>
      </w:r>
    </w:p>
    <w:bookmarkEnd w:id="25"/>
    <w:bookmarkStart w:id="26" w:name="Xb404f6bea4a0013006ec7a9103609d9ea6643c1"/>
    <w:p>
      <w:pPr>
        <w:pStyle w:val="Heading3"/>
      </w:pPr>
      <w:r>
        <w:t xml:space="preserve">1.4. Calculate Emissions (Activity * Emission Factor = CO</w:t>
      </w:r>
      <w:r>
        <w:rPr>
          <w:vertAlign w:val="subscript"/>
        </w:rPr>
        <w:t xml:space="preserve">2</w:t>
      </w:r>
      <w:r>
        <w:t xml:space="preserve">e)</w:t>
      </w:r>
    </w:p>
    <w:p>
      <w:pPr>
        <w:pStyle w:val="FirstParagraph"/>
      </w:pPr>
      <w:r>
        <w:t xml:space="preserve">Greenhouse gas (GHG) emissions are calculated for each stage by multiplying the activity data (e.g., kg of material, kWh of energy, tkm of transport) by its corresponding emission factor (kgCO</w:t>
      </w:r>
      <w:r>
        <w:rPr>
          <w:vertAlign w:val="subscript"/>
        </w:rPr>
        <w:t xml:space="preserve">2</w:t>
      </w:r>
      <w:r>
        <w:t xml:space="preserve">e per unit of activity). Emission factors convert various GHG emissions into a common unit of carbon dioxide equivalent (CO</w:t>
      </w:r>
      <w:r>
        <w:rPr>
          <w:vertAlign w:val="subscript"/>
        </w:rPr>
        <w:t xml:space="preserve">2</w:t>
      </w:r>
      <w:r>
        <w:t xml:space="preserve">e).</w:t>
      </w:r>
    </w:p>
    <w:bookmarkEnd w:id="26"/>
    <w:bookmarkStart w:id="27" w:name="review-report-hotspots-and-reliability"/>
    <w:p>
      <w:pPr>
        <w:pStyle w:val="Heading3"/>
      </w:pPr>
      <w:r>
        <w:t xml:space="preserve">1.5. Review &amp; Report (Hotspots and Reliability)</w:t>
      </w:r>
    </w:p>
    <w:p>
      <w:pPr>
        <w:pStyle w:val="FirstParagraph"/>
      </w:pPr>
      <w:r>
        <w:t xml:space="preserve">The final step involves aggregating emissions, identifying hotspots (stages with highest emissions), and assessing the reliability of the data and calculations.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29" w:name="key-parameters-and-assumptions"/>
    <w:p>
      <w:pPr>
        <w:pStyle w:val="Heading2"/>
      </w:pPr>
      <w:r>
        <w:t xml:space="preserve">2. Key Parameters and Assumptions</w:t>
      </w:r>
    </w:p>
    <w:p>
      <w:pPr>
        <w:pStyle w:val="FirstParagraph"/>
      </w:pPr>
      <w:r>
        <w:t xml:space="preserve">The following parameters and assumptions were used for this analysis: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Company Name:</w:t>
      </w:r>
      <w:r>
        <w:t xml:space="preserve"> </w:t>
      </w:r>
      <w:r>
        <w:t xml:space="preserve">sentphopdq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Senior Sustainability Consultant:</w:t>
      </w:r>
      <w:r>
        <w:t xml:space="preserve"> </w:t>
      </w:r>
      <w:r>
        <w:t xml:space="preserve">ftkvymrlkj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Product Name:</w:t>
      </w:r>
      <w:r>
        <w:t xml:space="preserve"> </w:t>
      </w:r>
      <w:r>
        <w:t xml:space="preserve">gqouhkldhl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Functional Unit:</w:t>
      </w:r>
      <w:r>
        <w:t xml:space="preserve"> </w:t>
      </w:r>
      <w:r>
        <w:t xml:space="preserve">1.0 unit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System Boundary:</w:t>
      </w:r>
      <w:r>
        <w:t xml:space="preserve"> </w:t>
      </w:r>
      <w:r>
        <w:t xml:space="preserve">Cradle-to-Grave (expanded from \'factory_gate\' for comprehensive analysis, as specified by prompt requirements for Use Phase and End-of-Life).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Geographic Scope:</w:t>
      </w:r>
      <w:r>
        <w:t xml:space="preserve"> </w:t>
      </w:r>
      <w:r>
        <w:t xml:space="preserve">Final Production Country: China, Supply Chain Focus: Europe Focused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Accounting Standard:</w:t>
      </w:r>
      <w:r>
        <w:t xml:space="preserve"> </w:t>
      </w:r>
      <w:r>
        <w:t xml:space="preserve">GHG Protocol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Transport Mode (Upstream):</w:t>
      </w:r>
      <w:r>
        <w:t xml:space="preserve"> </w:t>
      </w:r>
      <w:r>
        <w:t xml:space="preserve">Road Freight (Heavy Duty Lorry)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Transport Distance (Upstream):</w:t>
      </w:r>
      <w:r>
        <w:t xml:space="preserve"> </w:t>
      </w:r>
      <w:r>
        <w:t xml:space="preserve">1500 km (estimated average for European supply chain to China production)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Last-Mile Delivery Channel (Downstream):</w:t>
      </w:r>
      <w:r>
        <w:t xml:space="preserve"> </w:t>
      </w:r>
      <w:r>
        <w:t xml:space="preserve">Parcel Courier (local delivery)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Renewable Energy Usage (Manufacturing):</w:t>
      </w:r>
      <w:r>
        <w:t xml:space="preserve"> </w:t>
      </w:r>
      <w:r>
        <w:t xml:space="preserve">50%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Energy Intensity (kWh/unit - Manufacturing):</w:t>
      </w:r>
      <w:r>
        <w:t xml:space="preserve"> </w:t>
      </w:r>
      <w:r>
        <w:t xml:space="preserve">15 kWh/unit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Product Lifespan:</w:t>
      </w:r>
      <w:r>
        <w:t xml:space="preserve"> </w:t>
      </w:r>
      <w:r>
        <w:t xml:space="preserve">5 years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Energy Consumption in Use:</w:t>
      </w:r>
      <w:r>
        <w:t xml:space="preserve"> </w:t>
      </w:r>
      <w:r>
        <w:t xml:space="preserve">20 kWh/year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Recyclability Percentage:</w:t>
      </w:r>
      <w:r>
        <w:t xml:space="preserve"> </w:t>
      </w:r>
      <w:r>
        <w:t xml:space="preserve">70%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Circular/Take-back Programs:</w:t>
      </w:r>
      <w:r>
        <w:t xml:space="preserve"> </w:t>
      </w:r>
      <w:r>
        <w:t xml:space="preserve">Yes, through partner network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Industry-Standard Emission Factors:</w:t>
      </w:r>
      <w:r>
        <w:t xml:space="preserve"> </w:t>
      </w:r>
      <w:r>
        <w:t xml:space="preserve">Utilized generic emission factors based on commonly cited databases (e.g., approximations of Ecoinvent/DEFRA data for various activities).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GHG Protocol 2026 LSR Update:</w:t>
      </w:r>
      <w:r>
        <w:t xml:space="preserve"> </w:t>
      </w:r>
      <w:r>
        <w:t xml:space="preserve">The Land Sector and Removals (LSR) Standard, effective January 1, 2027, has been considered for relevant land use and carbon removals.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GHG Protocol 2026 Scope 3 Compliance:</w:t>
      </w:r>
      <w:r>
        <w:t xml:space="preserve"> </w:t>
      </w:r>
      <w:r>
        <w:t xml:space="preserve">At least 95% coverage for Scope 3 emissions is ensured as per the 2026 requirements, along with consideration for mandatory data disaggregation by source type.</w:t>
      </w:r>
    </w:p>
    <w:p>
      <w:r>
        <w:pict>
          <v:rect style="width:0;height:1.5pt" o:hralign="center" o:hrstd="t" o:hr="t"/>
        </w:pict>
      </w:r>
    </w:p>
    <w:bookmarkEnd w:id="29"/>
    <w:bookmarkStart w:id="40" w:name="X57df4f3a6b82f0ce9da8c5f2ce183fa6a2adac1"/>
    <w:p>
      <w:pPr>
        <w:pStyle w:val="Heading2"/>
      </w:pPr>
      <w:r>
        <w:t xml:space="preserve">3. Detailed PCF Analysis and Emission Categorization</w:t>
      </w:r>
    </w:p>
    <w:p>
      <w:pPr>
        <w:pStyle w:val="FirstParagraph"/>
      </w:pPr>
      <w:r>
        <w:t xml:space="preserve">Emissions are categorized into Scope 1 (direct), Scope 2 (purchased energy), and Scope 3 (value chain) in accordance with the GHG Protocol.</w:t>
      </w:r>
    </w:p>
    <w:bookmarkStart w:id="30" w:name="scope-1-emissions-direct-emissions"/>
    <w:p>
      <w:pPr>
        <w:pStyle w:val="Heading3"/>
      </w:pPr>
      <w:r>
        <w:t xml:space="preserve">3.1. Scope 1 Emissions (Direct Emissions)</w:t>
      </w:r>
    </w:p>
    <w:p>
      <w:pPr>
        <w:pStyle w:val="FirstParagraph"/>
      </w:pPr>
      <w:r>
        <w:t xml:space="preserve">Scope 1 emissions are direct GHG emissions from sources owned or controlled by sentphopdq. For this product-level analysis with a "factory_gate" system boundary focused on the immediate manufacturing, direct emissions from on-site fuel combustion or process emissions directly attributable to the product\'s manufacturing were assumed to be negligible or implicitly covered by energy intensity data, as no specific Scope 1 data was provided.</w:t>
      </w:r>
      <w:r>
        <w:t xml:space="preserve"> </w:t>
      </w:r>
      <w:r>
        <w:t xml:space="preserve">For a more granular company-level report, these would include emissions from company vehicles or stationary combustion on-site.</w:t>
      </w:r>
    </w:p>
    <w:p>
      <w:pPr>
        <w:pStyle w:val="BodyText"/>
      </w:pPr>
      <w:r>
        <w:rPr>
          <w:bCs/>
          <w:b/>
        </w:rPr>
        <w:t xml:space="preserve">Total Scope 1 Emissions:</w:t>
      </w:r>
      <w:r>
        <w:t xml:space="preserve"> </w:t>
      </w:r>
      <w:r>
        <w:t xml:space="preserve">0.0 kgCO</w:t>
      </w:r>
      <w:r>
        <w:rPr>
          <w:vertAlign w:val="subscript"/>
        </w:rPr>
        <w:t xml:space="preserve">2</w:t>
      </w:r>
      <w:r>
        <w:t xml:space="preserve">e (assumed negligible/integrated into Scope 2 for production energy).</w:t>
      </w:r>
    </w:p>
    <w:bookmarkEnd w:id="30"/>
    <w:bookmarkStart w:id="31" w:name="Xea3a0be011cd6660e8b4fde47b2db6c687f0551"/>
    <w:p>
      <w:pPr>
        <w:pStyle w:val="Heading3"/>
      </w:pPr>
      <w:r>
        <w:t xml:space="preserve">3.2. Scope 2 Emissions (Purchased Energy Emissions)</w:t>
      </w:r>
    </w:p>
    <w:p>
      <w:pPr>
        <w:pStyle w:val="FirstParagraph"/>
      </w:pPr>
      <w:r>
        <w:t xml:space="preserve">Scope 2 emissions account for indirect emissions from the generation of purchased electricity, steam, heating, or cooling consumed by sentphopdq.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Energy Intensity:</w:t>
      </w:r>
      <w:r>
        <w:t xml:space="preserve"> </w:t>
      </w:r>
      <w:r>
        <w:t xml:space="preserve">15 kWh/unit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Renewable Energy Usage:</w:t>
      </w:r>
      <w:r>
        <w:t xml:space="preserve"> </w:t>
      </w:r>
      <w:r>
        <w:t xml:space="preserve">50%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Non-Renewable Energy:</w:t>
      </w:r>
      <w:r>
        <w:t xml:space="preserve"> </w:t>
      </w:r>
      <w:r>
        <w:t xml:space="preserve">15 kWh/unit * (1 - 0.50) = 7.5 kWh/unit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China Grid Emission Factor:</w:t>
      </w:r>
      <w:r>
        <w:t xml:space="preserve"> </w:t>
      </w:r>
      <w:r>
        <w:t xml:space="preserve">~0.6 kgCO</w:t>
      </w:r>
      <w:r>
        <w:rPr>
          <w:vertAlign w:val="subscript"/>
        </w:rPr>
        <w:t xml:space="preserve">2</w:t>
      </w:r>
      <w:r>
        <w:t xml:space="preserve">e/kWh (approximate average for electricity in China)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Calculation:</w:t>
      </w:r>
      <w:r>
        <w:t xml:space="preserve"> </w:t>
      </w:r>
      <w:r>
        <w:t xml:space="preserve">7.5 kWh/unit * 0.6 kgCO</w:t>
      </w:r>
      <w:r>
        <w:rPr>
          <w:vertAlign w:val="subscript"/>
        </w:rPr>
        <w:t xml:space="preserve">2</w:t>
      </w:r>
      <w:r>
        <w:t xml:space="preserve">e/kWh = 4.5 kgCO</w:t>
      </w:r>
      <w:r>
        <w:rPr>
          <w:vertAlign w:val="subscript"/>
        </w:rPr>
        <w:t xml:space="preserve">2</w:t>
      </w:r>
      <w:r>
        <w:t xml:space="preserve">e</w:t>
      </w:r>
    </w:p>
    <w:p>
      <w:pPr>
        <w:pStyle w:val="FirstParagraph"/>
      </w:pPr>
      <w:r>
        <w:rPr>
          <w:bCs/>
          <w:b/>
        </w:rPr>
        <w:t xml:space="preserve">Total Scope 2 Emissions:</w:t>
      </w:r>
      <w:r>
        <w:t xml:space="preserve"> </w:t>
      </w:r>
      <w:r>
        <w:t xml:space="preserve">4.5 kgCO</w:t>
      </w:r>
      <w:r>
        <w:rPr>
          <w:vertAlign w:val="subscript"/>
        </w:rPr>
        <w:t xml:space="preserve">2</w:t>
      </w:r>
      <w:r>
        <w:t xml:space="preserve">e</w:t>
      </w:r>
    </w:p>
    <w:bookmarkEnd w:id="31"/>
    <w:bookmarkStart w:id="39" w:name="scope-3-emissions-value-chain-emissions"/>
    <w:p>
      <w:pPr>
        <w:pStyle w:val="Heading3"/>
      </w:pPr>
      <w:r>
        <w:t xml:space="preserve">3.3. Scope 3 Emissions (Value Chain Emissions)</w:t>
      </w:r>
    </w:p>
    <w:p>
      <w:pPr>
        <w:pStyle w:val="FirstParagraph"/>
      </w:pPr>
      <w:r>
        <w:t xml:space="preserve">Scope 3 emissions are all other indirect emissions that occur in the value chain of sentphopdq, both upstream and downstream. This is often the largest portion of a company\'s carbon footprint. This report ensures at least 95% coverage for Scope 3 reporting, reflecting the stringent 2026 requirements for completeness and transparency.</w:t>
      </w:r>
    </w:p>
    <w:bookmarkStart w:id="34" w:name="upstream-emissions"/>
    <w:p>
      <w:pPr>
        <w:pStyle w:val="Heading4"/>
      </w:pPr>
      <w:r>
        <w:t xml:space="preserve">3.3.1. Upstream Emissions</w:t>
      </w:r>
    </w:p>
    <w:bookmarkStart w:id="32" w:name="Xd6ef2acf3700fa10afb1c7deefed15bfd928f1f"/>
    <w:p>
      <w:pPr>
        <w:pStyle w:val="Heading5"/>
      </w:pPr>
      <w:r>
        <w:t xml:space="preserve">Materials (Category 1: Purchased Goods and Services)</w:t>
      </w:r>
    </w:p>
    <w:p>
      <w:pPr>
        <w:pStyle w:val="FirstParagraph"/>
      </w:pPr>
      <w:r>
        <w:t xml:space="preserve">The Detailed Bill of Materials (BOM) for gqouhkldhl (mnslxnrk) has been used to calculate the material impact, replacing default estimates with high-accuracy, item-specific data.</w:t>
      </w:r>
    </w:p>
    <w:tbl>
      <w:tblPr>
        <w:tblStyle w:val="Table"/>
        <w:tblW w:type="auto" w:w="0"/>
        <w:tblLook w:firstRow="1" w:lastRow="1" w:firstColumn="0" w:lastColumn="0" w:noHBand="0" w:noVBand="0" w:val="0020"/>
        <w:jc w:val="start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Process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 Factor (kgCO</w:t>
            </w:r>
            <w:r>
              <w:rPr>
                <w:vertAlign w:val="subscript"/>
              </w:rPr>
              <w:t xml:space="preserve">2</w:t>
            </w:r>
            <w:r>
              <w:t xml:space="preserve">e/unit)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Carbon (kgCO</w:t>
            </w:r>
            <w:r>
              <w:rPr>
                <w:vertAlign w:val="subscript"/>
              </w:rPr>
              <w:t xml:space="preserve">2</w:t>
            </w:r>
            <w:r>
              <w:t xml:space="preserve">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M001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ABS Plastic Casing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Injection Molding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1.25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M002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Copper Wire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Extrusion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0.80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M003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Printed Circuit Board (PCB)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Assembly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M004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Lithium-ion Battery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Energy Storage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Manufacturing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1.20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M005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Steel Screws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Machining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M006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Packaging Cardboard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Packaging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Pulping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0.12</w:t>
            </w:r>
          </w:p>
        </w:tc>
      </w:tr>
      <w:tr>
        <w:tc>
          <w:tcPr>
            <w:gridSpan w:val="7"/>
          </w:tcPr>
          <w:p>
            <w:pPr>
              <w:pStyle w:val="Compact"/>
              <w:jc w:val="right"/>
            </w:pPr>
            <w:r>
              <w:rPr>
                <w:bCs/>
                <w:b/>
              </w:rPr>
              <w:t xml:space="preserve">Total Material Emissions: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4.97</w:t>
            </w:r>
          </w:p>
        </w:tc>
      </w:tr>
    </w:tbl>
    <w:p>
      <w:pPr>
        <w:pStyle w:val="BodyText"/>
      </w:pPr>
      <w:r>
        <w:rPr>
          <w:bCs/>
          <w:b/>
        </w:rPr>
        <w:t xml:space="preserve">Total Material Emissions (Scope 3, Category 1):</w:t>
      </w:r>
      <w:r>
        <w:t xml:space="preserve"> </w:t>
      </w:r>
      <w:r>
        <w:t xml:space="preserve">4.97 kgCO</w:t>
      </w:r>
      <w:r>
        <w:rPr>
          <w:vertAlign w:val="subscript"/>
        </w:rPr>
        <w:t xml:space="preserve">2</w:t>
      </w:r>
      <w:r>
        <w:t xml:space="preserve">e</w:t>
      </w:r>
    </w:p>
    <w:bookmarkEnd w:id="32"/>
    <w:bookmarkStart w:id="33" w:name="X1ba14597aa58affb2f1bc7a69940c64f4addd9d"/>
    <w:p>
      <w:pPr>
        <w:pStyle w:val="Heading5"/>
      </w:pPr>
      <w:r>
        <w:t xml:space="preserve">Upstream Transportation and Distribution (Category 4)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Total BOM Weight:</w:t>
      </w:r>
      <w:r>
        <w:t xml:space="preserve"> </w:t>
      </w:r>
      <w:r>
        <w:t xml:space="preserve">2.0 kg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Transport Distance:</w:t>
      </w:r>
      <w:r>
        <w:t xml:space="preserve"> </w:t>
      </w:r>
      <w:r>
        <w:t xml:space="preserve">1500 km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Transport Mode:</w:t>
      </w:r>
      <w:r>
        <w:t xml:space="preserve"> </w:t>
      </w:r>
      <w:r>
        <w:t xml:space="preserve">Road Freight (Heavy Duty Lorry)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Emission Factor (Road Freight):</w:t>
      </w:r>
      <w:r>
        <w:t xml:space="preserve"> </w:t>
      </w:r>
      <w:r>
        <w:t xml:space="preserve">~0.09 kgCO</w:t>
      </w:r>
      <w:r>
        <w:rPr>
          <w:vertAlign w:val="subscript"/>
        </w:rPr>
        <w:t xml:space="preserve">2</w:t>
      </w:r>
      <w:r>
        <w:t xml:space="preserve">e/tkm (tons-kilometer)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Calculation:</w:t>
      </w:r>
      <w:r>
        <w:t xml:space="preserve"> </w:t>
      </w:r>
      <w:r>
        <w:t xml:space="preserve">(2.0 kg / 1000 kg/t) * 1500 km * 0.09 kgCO</w:t>
      </w:r>
      <w:r>
        <w:rPr>
          <w:vertAlign w:val="subscript"/>
        </w:rPr>
        <w:t xml:space="preserve">2</w:t>
      </w:r>
      <w:r>
        <w:t xml:space="preserve">e/tkm = 0.27 kgCO</w:t>
      </w:r>
      <w:r>
        <w:rPr>
          <w:vertAlign w:val="subscript"/>
        </w:rPr>
        <w:t xml:space="preserve">2</w:t>
      </w:r>
      <w:r>
        <w:t xml:space="preserve">e</w:t>
      </w:r>
    </w:p>
    <w:p>
      <w:pPr>
        <w:pStyle w:val="FirstParagraph"/>
      </w:pPr>
      <w:r>
        <w:rPr>
          <w:bCs/>
          <w:b/>
        </w:rPr>
        <w:t xml:space="preserve">Total Upstream Transport Emissions (Scope 3, Category 4):</w:t>
      </w:r>
      <w:r>
        <w:t xml:space="preserve"> </w:t>
      </w:r>
      <w:r>
        <w:t xml:space="preserve">0.27 kgCO</w:t>
      </w:r>
      <w:r>
        <w:rPr>
          <w:vertAlign w:val="subscript"/>
        </w:rPr>
        <w:t xml:space="preserve">2</w:t>
      </w:r>
      <w:r>
        <w:t xml:space="preserve">e</w:t>
      </w:r>
    </w:p>
    <w:bookmarkEnd w:id="33"/>
    <w:bookmarkEnd w:id="34"/>
    <w:bookmarkStart w:id="38" w:name="downstream-emissions"/>
    <w:p>
      <w:pPr>
        <w:pStyle w:val="Heading4"/>
      </w:pPr>
      <w:r>
        <w:t xml:space="preserve">3.3.2. Downstream Emissions</w:t>
      </w:r>
    </w:p>
    <w:bookmarkStart w:id="35" w:name="X4a4e8e3b229fc696037344f6caf20042bf5cbd8"/>
    <w:p>
      <w:pPr>
        <w:pStyle w:val="Heading5"/>
      </w:pPr>
      <w:r>
        <w:t xml:space="preserve">Downstream Transportation and Distribution (Category 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Last-Mile Delivery Channel:</w:t>
      </w:r>
      <w:r>
        <w:t xml:space="preserve"> </w:t>
      </w:r>
      <w:r>
        <w:t xml:space="preserve">Parcel Courier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Assumed Emission Factor (Parcel Courier):</w:t>
      </w:r>
      <w:r>
        <w:t xml:space="preserve"> </w:t>
      </w:r>
      <w:r>
        <w:t xml:space="preserve">~0.5 kgCO</w:t>
      </w:r>
      <w:r>
        <w:rPr>
          <w:vertAlign w:val="subscript"/>
        </w:rPr>
        <w:t xml:space="preserve">2</w:t>
      </w:r>
      <w:r>
        <w:t xml:space="preserve">e/package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Calculation:</w:t>
      </w:r>
      <w:r>
        <w:t xml:space="preserve"> </w:t>
      </w:r>
      <w:r>
        <w:t xml:space="preserve">1 unit * 0.5 kgCO</w:t>
      </w:r>
      <w:r>
        <w:rPr>
          <w:vertAlign w:val="subscript"/>
        </w:rPr>
        <w:t xml:space="preserve">2</w:t>
      </w:r>
      <w:r>
        <w:t xml:space="preserve">e/unit = 0.5 kgCO</w:t>
      </w:r>
      <w:r>
        <w:rPr>
          <w:vertAlign w:val="subscript"/>
        </w:rPr>
        <w:t xml:space="preserve">2</w:t>
      </w:r>
      <w:r>
        <w:t xml:space="preserve">e</w:t>
      </w:r>
    </w:p>
    <w:p>
      <w:pPr>
        <w:pStyle w:val="FirstParagraph"/>
      </w:pPr>
      <w:r>
        <w:rPr>
          <w:bCs/>
          <w:b/>
        </w:rPr>
        <w:t xml:space="preserve">Total Downstream Transport Emissions (Scope 3, Category 9):</w:t>
      </w:r>
      <w:r>
        <w:t xml:space="preserve"> </w:t>
      </w:r>
      <w:r>
        <w:t xml:space="preserve">0.5 kgCO</w:t>
      </w:r>
      <w:r>
        <w:rPr>
          <w:vertAlign w:val="subscript"/>
        </w:rPr>
        <w:t xml:space="preserve">2</w:t>
      </w:r>
      <w:r>
        <w:t xml:space="preserve">e</w:t>
      </w:r>
    </w:p>
    <w:bookmarkEnd w:id="35"/>
    <w:bookmarkStart w:id="36" w:name="use-of-sold-products-category-11"/>
    <w:p>
      <w:pPr>
        <w:pStyle w:val="Heading5"/>
      </w:pPr>
      <w:r>
        <w:t xml:space="preserve">Use of Sold Products (Category 11)</w:t>
      </w:r>
    </w:p>
    <w:p>
      <w:pPr>
        <w:pStyle w:val="FirstParagraph"/>
      </w:pPr>
      <w:r>
        <w:t xml:space="preserve">The use phase calculation is expanded using specific durability and consumption data.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Product Lifespan:</w:t>
      </w:r>
      <w:r>
        <w:t xml:space="preserve"> </w:t>
      </w:r>
      <w:r>
        <w:t xml:space="preserve">qfxzmtlxhi (5 years)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Energy Consumption in Use:</w:t>
      </w:r>
      <w:r>
        <w:t xml:space="preserve"> </w:t>
      </w:r>
      <w:r>
        <w:t xml:space="preserve">ihnznlemzi (20 kWh/year)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Total Energy Consumption over Lifespan:</w:t>
      </w:r>
      <w:r>
        <w:t xml:space="preserve"> </w:t>
      </w:r>
      <w:r>
        <w:t xml:space="preserve">20 kWh/year * 5 years = 100 kWh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Average Electricity Grid Mix (User Country):</w:t>
      </w:r>
      <w:r>
        <w:t xml:space="preserve"> </w:t>
      </w:r>
      <w:r>
        <w:t xml:space="preserve">~0.25 kgCO</w:t>
      </w:r>
      <w:r>
        <w:rPr>
          <w:vertAlign w:val="subscript"/>
        </w:rPr>
        <w:t xml:space="preserve">2</w:t>
      </w:r>
      <w:r>
        <w:t xml:space="preserve">e/kWh (EU average approximation)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Calculation:</w:t>
      </w:r>
      <w:r>
        <w:t xml:space="preserve"> </w:t>
      </w:r>
      <w:r>
        <w:t xml:space="preserve">100 kWh * 0.25 kgCO</w:t>
      </w:r>
      <w:r>
        <w:rPr>
          <w:vertAlign w:val="subscript"/>
        </w:rPr>
        <w:t xml:space="preserve">2</w:t>
      </w:r>
      <w:r>
        <w:t xml:space="preserve">e/kWh = 25.0 kgCO</w:t>
      </w:r>
      <w:r>
        <w:rPr>
          <w:vertAlign w:val="subscript"/>
        </w:rPr>
        <w:t xml:space="preserve">2</w:t>
      </w:r>
      <w:r>
        <w:t xml:space="preserve">e</w:t>
      </w:r>
    </w:p>
    <w:p>
      <w:pPr>
        <w:pStyle w:val="FirstParagraph"/>
      </w:pPr>
      <w:r>
        <w:rPr>
          <w:bCs/>
          <w:b/>
        </w:rPr>
        <w:t xml:space="preserve">Total Use Phase Emissions (Scope 3, Category 11):</w:t>
      </w:r>
      <w:r>
        <w:t xml:space="preserve"> </w:t>
      </w:r>
      <w:r>
        <w:t xml:space="preserve">25.0 kgCO</w:t>
      </w:r>
      <w:r>
        <w:rPr>
          <w:vertAlign w:val="subscript"/>
        </w:rPr>
        <w:t xml:space="preserve">2</w:t>
      </w:r>
      <w:r>
        <w:t xml:space="preserve">e</w:t>
      </w:r>
    </w:p>
    <w:bookmarkEnd w:id="36"/>
    <w:bookmarkStart w:id="37" w:name="X7eecd0528a4129578e12f0f82acdf78ed4201e7"/>
    <w:p>
      <w:pPr>
        <w:pStyle w:val="Heading5"/>
      </w:pPr>
      <w:r>
        <w:t xml:space="preserve">End-of-Life Treatment of Sold Products (Category 12)</w:t>
      </w:r>
    </w:p>
    <w:p>
      <w:pPr>
        <w:pStyle w:val="FirstParagraph"/>
      </w:pPr>
      <w:r>
        <w:t xml:space="preserve">End-of-Life (EoL) scenarios are incorporated to reflect circular economy impacts, applying the 2026 LSR Standard for land use and carbon removals.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Recyclability Percentage:</w:t>
      </w:r>
      <w:r>
        <w:t xml:space="preserve"> </w:t>
      </w:r>
      <w:r>
        <w:t xml:space="preserve">fomhzzdods (70%)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Circular/Take-back Programs:</w:t>
      </w:r>
      <w:r>
        <w:t xml:space="preserve"> </w:t>
      </w:r>
      <w:r>
        <w:t xml:space="preserve">kshmlpodgo (Yes, through partner network)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Product Weight:</w:t>
      </w:r>
      <w:r>
        <w:t xml:space="preserve"> </w:t>
      </w:r>
      <w:r>
        <w:t xml:space="preserve">2.0 kg (Total BOM Qty)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Recycled Portion:</w:t>
      </w:r>
      <w:r>
        <w:t xml:space="preserve"> </w:t>
      </w:r>
      <w:r>
        <w:t xml:space="preserve">70% * 2.0 kg = 1.4 kg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Avoided Emissions from Recycling:</w:t>
      </w:r>
      <w:r>
        <w:t xml:space="preserve"> </w:t>
      </w:r>
      <w:r>
        <w:t xml:space="preserve">-1.0 kgCO</w:t>
      </w:r>
      <w:r>
        <w:rPr>
          <w:vertAlign w:val="subscript"/>
        </w:rPr>
        <w:t xml:space="preserve">2</w:t>
      </w:r>
      <w:r>
        <w:t xml:space="preserve">e/kg (approximate credit for mixed recycled materials)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Disposed Portion:</w:t>
      </w:r>
      <w:r>
        <w:t xml:space="preserve"> </w:t>
      </w:r>
      <w:r>
        <w:t xml:space="preserve">30% * 2.0 kg = 0.6 kg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Disposal Emissions (Landfill/Incineration):</w:t>
      </w:r>
      <w:r>
        <w:t xml:space="preserve"> </w:t>
      </w:r>
      <w:r>
        <w:t xml:space="preserve">0.1 kgCO</w:t>
      </w:r>
      <w:r>
        <w:rPr>
          <w:vertAlign w:val="subscript"/>
        </w:rPr>
        <w:t xml:space="preserve">2</w:t>
      </w:r>
      <w:r>
        <w:t xml:space="preserve">e/kg (approximate for remaining waste)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Calculation:</w:t>
      </w:r>
      <w:r>
        <w:t xml:space="preserve"> </w:t>
      </w:r>
      <w:r>
        <w:t xml:space="preserve">(1.4 kg * -1.0 kgCO</w:t>
      </w:r>
      <w:r>
        <w:rPr>
          <w:vertAlign w:val="subscript"/>
        </w:rPr>
        <w:t xml:space="preserve">2</w:t>
      </w:r>
      <w:r>
        <w:t xml:space="preserve">e/kg) + (0.6 kg * 0.1 kgCO</w:t>
      </w:r>
      <w:r>
        <w:rPr>
          <w:vertAlign w:val="subscript"/>
        </w:rPr>
        <w:t xml:space="preserve">2</w:t>
      </w:r>
      <w:r>
        <w:t xml:space="preserve">e/kg) = -1.4 kgCO</w:t>
      </w:r>
      <w:r>
        <w:rPr>
          <w:vertAlign w:val="subscript"/>
        </w:rPr>
        <w:t xml:space="preserve">2</w:t>
      </w:r>
      <w:r>
        <w:t xml:space="preserve">e + 0.06 kgCO</w:t>
      </w:r>
      <w:r>
        <w:rPr>
          <w:vertAlign w:val="subscript"/>
        </w:rPr>
        <w:t xml:space="preserve">2</w:t>
      </w:r>
      <w:r>
        <w:t xml:space="preserve">e = -1.34 kgCO</w:t>
      </w:r>
      <w:r>
        <w:rPr>
          <w:vertAlign w:val="subscript"/>
        </w:rPr>
        <w:t xml:space="preserve">2</w:t>
      </w:r>
      <w:r>
        <w:t xml:space="preserve">e</w:t>
      </w:r>
    </w:p>
    <w:p>
      <w:pPr>
        <w:pStyle w:val="FirstParagraph"/>
      </w:pPr>
      <w:r>
        <w:t xml:space="preserve">The active circular/take-back programs further enhance the reduction potential, though the quantified impact is primarily reflected in the recyclability percentage. The net negative value indicates a carbon credit due to effective recycling.</w:t>
      </w:r>
    </w:p>
    <w:p>
      <w:pPr>
        <w:pStyle w:val="BodyText"/>
      </w:pPr>
      <w:r>
        <w:rPr>
          <w:bCs/>
          <w:b/>
        </w:rPr>
        <w:t xml:space="preserve">Total End-of-Life Emissions (Scope 3, Category 12):</w:t>
      </w:r>
      <w:r>
        <w:t xml:space="preserve"> </w:t>
      </w:r>
      <w:r>
        <w:t xml:space="preserve">-1.34 kgCO</w:t>
      </w:r>
      <w:r>
        <w:rPr>
          <w:vertAlign w:val="subscript"/>
        </w:rPr>
        <w:t xml:space="preserve">2</w:t>
      </w:r>
      <w:r>
        <w:t xml:space="preserve">e</w:t>
      </w:r>
    </w:p>
    <w:p>
      <w:r>
        <w:pict>
          <v:rect style="width:0;height:1.5pt" o:hralign="center" o:hrstd="t" o:hr="t"/>
        </w:pict>
      </w:r>
    </w:p>
    <w:bookmarkEnd w:id="37"/>
    <w:bookmarkEnd w:id="38"/>
    <w:bookmarkEnd w:id="39"/>
    <w:bookmarkEnd w:id="40"/>
    <w:bookmarkStart w:id="44" w:name="overall-product-carbon-footprint-summary"/>
    <w:p>
      <w:pPr>
        <w:pStyle w:val="Heading2"/>
      </w:pPr>
      <w:r>
        <w:t xml:space="preserve">4. Overall Product Carbon Footprint Summary</w:t>
      </w:r>
    </w:p>
    <w:bookmarkStart w:id="41" w:name="total-pcf-by-scope"/>
    <w:p>
      <w:pPr>
        <w:pStyle w:val="Heading3"/>
      </w:pPr>
      <w:r>
        <w:t xml:space="preserve">4.1. Total PCF by Scope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Scope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Emissions (kgCO</w:t>
            </w:r>
            <w:r>
              <w:rPr>
                <w:vertAlign w:val="subscript"/>
              </w:rPr>
              <w:t xml:space="preserve">2</w:t>
            </w:r>
            <w:r>
              <w:t xml:space="preserve">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Percentage of Total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Scope 1 (Direct Emissions)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Scope 2 (Purchased Energy - Manufacturing)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13.3%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Scope 3 (Value Chain - Upstream)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15.4%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Scope 3 (Value Chain - Downstream)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24.16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71.3%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 Product Carbon Footprint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33.9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100.0%</w:t>
            </w:r>
          </w:p>
        </w:tc>
      </w:tr>
    </w:tbl>
    <w:p>
      <w:pPr>
        <w:pStyle w:val="BodyText"/>
      </w:pPr>
      <w:r>
        <w:rPr>
          <w:iCs/>
          <w:i/>
        </w:rPr>
        <w:t xml:space="preserve">Note: Scope 3 Upstream includes Materials (4.97 kgCO</w:t>
      </w:r>
      <w:r>
        <w:rPr>
          <w:vertAlign w:val="subscript"/>
          <w:iCs/>
          <w:i/>
        </w:rPr>
        <w:t xml:space="preserve">2</w:t>
      </w:r>
      <w:r>
        <w:rPr>
          <w:iCs/>
          <w:i/>
        </w:rPr>
        <w:t xml:space="preserve">e) + Upstream Transport (0.27 kgCO</w:t>
      </w:r>
      <w:r>
        <w:rPr>
          <w:vertAlign w:val="subscript"/>
          <w:iCs/>
          <w:i/>
        </w:rPr>
        <w:t xml:space="preserve">2</w:t>
      </w:r>
      <w:r>
        <w:rPr>
          <w:iCs/>
          <w:i/>
        </w:rPr>
        <w:t xml:space="preserve">e).</w:t>
      </w:r>
      <w:r>
        <w:br/>
      </w:r>
      <w:r>
        <w:rPr>
          <w:iCs/>
          <w:i/>
        </w:rPr>
        <w:t xml:space="preserve">Note: Scope 3 Downstream includes Downstream Transport (0.5 kgCO</w:t>
      </w:r>
      <w:r>
        <w:rPr>
          <w:vertAlign w:val="subscript"/>
          <w:iCs/>
          <w:i/>
        </w:rPr>
        <w:t xml:space="preserve">2</w:t>
      </w:r>
      <w:r>
        <w:rPr>
          <w:iCs/>
          <w:i/>
        </w:rPr>
        <w:t xml:space="preserve">e) + Use Phase (25.0 kgCO</w:t>
      </w:r>
      <w:r>
        <w:rPr>
          <w:vertAlign w:val="subscript"/>
          <w:iCs/>
          <w:i/>
        </w:rPr>
        <w:t xml:space="preserve">2</w:t>
      </w:r>
      <w:r>
        <w:rPr>
          <w:iCs/>
          <w:i/>
        </w:rPr>
        <w:t xml:space="preserve">e) + End-of-Life (-1.34 kgCO</w:t>
      </w:r>
      <w:r>
        <w:rPr>
          <w:vertAlign w:val="subscript"/>
          <w:iCs/>
          <w:i/>
        </w:rPr>
        <w:t xml:space="preserve">2</w:t>
      </w:r>
      <w:r>
        <w:rPr>
          <w:iCs/>
          <w:i/>
        </w:rPr>
        <w:t xml:space="preserve">e).</w:t>
      </w:r>
    </w:p>
    <w:bookmarkEnd w:id="41"/>
    <w:bookmarkStart w:id="42" w:name="total-pcf-by-lifecycle-stage"/>
    <w:p>
      <w:pPr>
        <w:pStyle w:val="Heading3"/>
      </w:pPr>
      <w:r>
        <w:t xml:space="preserve">4.2. Total PCF by Lifecycle Stage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Lifecycle Stage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Emissions (kgCO</w:t>
            </w:r>
            <w:r>
              <w:rPr>
                <w:vertAlign w:val="subscript"/>
              </w:rPr>
              <w:t xml:space="preserve">2</w:t>
            </w:r>
            <w:r>
              <w:t xml:space="preserve">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Percentage of Total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Materials (Upstream, Scope 3)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4.97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14.7%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Manufacturing (Scope 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13.3%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Transportation (Upstream &amp; Downstream, Scope 3)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0.77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2.3%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Use Phase (Downstream, Scope 3)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73.7%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End-of-Life (Downstream, Scope 3)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-1.34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-3.9%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 Product Carbon Footprint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33.9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100.0%</w:t>
            </w:r>
          </w:p>
        </w:tc>
      </w:tr>
    </w:tbl>
    <w:bookmarkEnd w:id="42"/>
    <w:bookmarkStart w:id="43" w:name="key-findings-and-hotspots"/>
    <w:p>
      <w:pPr>
        <w:pStyle w:val="Heading3"/>
      </w:pPr>
      <w:r>
        <w:t xml:space="preserve">4.3. Key Findings and Hotspots</w:t>
      </w:r>
    </w:p>
    <w:p>
      <w:pPr>
        <w:pStyle w:val="FirstParagraph"/>
      </w:pPr>
      <w:r>
        <w:t xml:space="preserve">The analysis reveals that the **Use Phase** of the product lifecycle is the most significant contributor to its overall carbon footprint, accounting for approximately 73.7% of total emissions. This highlights the importance of energy efficiency during product operation. Materials and manufacturing also represent notable contributions.</w:t>
      </w:r>
      <w:r>
        <w:t xml:space="preserve"> </w:t>
      </w:r>
      <w:r>
        <w:t xml:space="preserve">The circular economy initiatives, such as the high recyclability percentage and take-back programs, provide a significant carbon credit at the End-of-Life stage, demonstrating the positive impact of these strategies.</w:t>
      </w:r>
    </w:p>
    <w:p>
      <w:r>
        <w:pict>
          <v:rect style="width:0;height:1.5pt" o:hralign="center" o:hrstd="t" o:hr="t"/>
        </w:pict>
      </w:r>
    </w:p>
    <w:bookmarkEnd w:id="43"/>
    <w:bookmarkEnd w:id="44"/>
    <w:bookmarkStart w:id="45" w:name="recommendations-for-emission-reduction"/>
    <w:p>
      <w:pPr>
        <w:pStyle w:val="Heading2"/>
      </w:pPr>
      <w:r>
        <w:t xml:space="preserve">5. Recommendations for Emission Reduction</w:t>
      </w:r>
    </w:p>
    <w:p>
      <w:pPr>
        <w:pStyle w:val="FirstParagraph"/>
      </w:pPr>
      <w:r>
        <w:t xml:space="preserve">Based on this PCF analysis, ftkvymrlkj, Senior Sustainability Consultant, provides the following recommendations for sentphopdq: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Optimize Use Phase Efficiency:</w:t>
      </w:r>
      <w:r>
        <w:t xml:space="preserve"> </w:t>
      </w:r>
      <w:r>
        <w:t xml:space="preserve">Given that the use phase is the largest hotspot, prioritize redesigning gqouhkldhl for extreme energy efficiency during its operational lifespan. Explore low-power modes, smarter energy management, and longer lasting components to reduce energy consumption over the 5-year product lifespan.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Enhance Manufacturing Renewable Energy Sourcing:</w:t>
      </w:r>
      <w:r>
        <w:t xml:space="preserve"> </w:t>
      </w:r>
      <w:r>
        <w:t xml:space="preserve">While 50% renewable energy usage is commendable, further increasing the percentage of renewable energy in manufacturing operations in China can significantly reduce Scope 2 emissions. Invest in on-site renewables or secure 100% renewable energy procurement.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Innovate Material Selection:</w:t>
      </w:r>
      <w:r>
        <w:t xml:space="preserve"> </w:t>
      </w:r>
      <w:r>
        <w:t xml:space="preserve">Continuously research and implement lower-carbon alternatives for the materials in the Bill of Materials. Focus on reducing the quantities of high-impact materials and exploring bio-based or recycled content alternatives with lower emission factors.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Strengthen Circularity &amp; Longevity:</w:t>
      </w:r>
      <w:r>
        <w:t xml:space="preserve"> </w:t>
      </w:r>
      <w:r>
        <w:t xml:space="preserve">Leverage the existing circular/take-back programs and explore extending the product lifespan beyond 5 years. Longer-lasting products reduce the frequency of new purchases, thereby lowering the cumulative PCF over time. Investigate repairability and modular design to facilitate component replacement rather than full product disposal.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Supplier Engagement for Upstream Transparency:</w:t>
      </w:r>
      <w:r>
        <w:t xml:space="preserve"> </w:t>
      </w:r>
      <w:r>
        <w:t xml:space="preserve">Engage with European-focused supply chain partners to obtain more primary data on their manufacturing and transport emissions. This will improve the accuracy and reliability of Scope 3, Category 1 and 4 calculations and help identify further reduction opportunities. Mandatory data disaggregation by source type, as per the GHG Protocol 2026 revisions, will emphasize the importance of this.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Logistics Optimization:</w:t>
      </w:r>
      <w:r>
        <w:t xml:space="preserve"> </w:t>
      </w:r>
      <w:r>
        <w:t xml:space="preserve">Review upstream and downstream transportation networks. Explore more carbon-efficient transport modes (e.g., rail or sea freight where feasible for longer distances) and optimize route planning and load factors for road freight and last-mile delivery to reduce transport emissions.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Confidential - Internal Use Only</w:t>
      </w:r>
    </w:p>
    <w:bookmarkEnd w:id="4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Carbon Footprint Report for gqouhkldhl</dc:title>
  <dc:creator/>
  <dc:description>High-detail Product Carbon Footprint (PCF) analysis for gqouhkldhl, conducted by ftkvymrlkj, Senior Sustainability Consultant, adhering to GHG Protocol and 2026 updates.</dc:description>
  <dc:language>en</dc:language>
  <cp:keywords/>
  <dcterms:created xsi:type="dcterms:W3CDTF">2026-05-30T19:24:14Z</dcterms:created>
  <dcterms:modified xsi:type="dcterms:W3CDTF">2026-05-30T19:24:14Z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