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gqfutsmzhv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gqfutsmzhv</w:t>
      </w:r>
    </w:p>
    <w:p>
      <w:pPr>
        <w:pStyle w:val="BodyText"/>
      </w:pPr>
      <w:r>
        <w:t xml:space="preserve">Company Name:</w:t>
      </w:r>
      <w:r>
        <w:t xml:space="preserve"> </w:t>
      </w:r>
      <w:r>
        <w:rPr>
          <w:bCs/>
          <w:b/>
        </w:rPr>
        <w:t xml:space="preserve">rrivyrdxiz</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slkifqzwpe</w:t>
      </w:r>
    </w:p>
    <w:p>
      <w:pPr>
        <w:pStyle w:val="BodyText"/>
      </w:pPr>
      <w:r>
        <w:t xml:space="preserve">Disclaimer: This report is generated based on available data and industry standards, including illustrative emission factors for demonstration purposes where specific primary data was not provided. All calculations are performed according to the GHG Protocol methodology.</w:t>
      </w:r>
    </w:p>
    <w:bookmarkEnd w:id="20"/>
    <w:bookmarkStart w:id="21"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gqfutsmzhv</w:t>
      </w:r>
    </w:p>
    <w:p>
      <w:pPr>
        <w:pStyle w:val="BodyText"/>
      </w:pPr>
      <w:r>
        <w:rPr>
          <w:bCs/>
          <w:b/>
        </w:rPr>
        <w:t xml:space="preserve">Company Name:</w:t>
      </w:r>
      <w:r>
        <w:t xml:space="preserve"> </w:t>
      </w:r>
      <w:r>
        <w:t xml:space="preserve">rrivyrdxiz</w:t>
      </w:r>
    </w:p>
    <w:p>
      <w:pPr>
        <w:pStyle w:val="BodyText"/>
      </w:pPr>
      <w:r>
        <w:rPr>
          <w:bCs/>
          <w:b/>
        </w:rPr>
        <w:t xml:space="preserve">Senior Sustainability Consultant:</w:t>
      </w:r>
      <w:r>
        <w:t xml:space="preserve"> </w:t>
      </w:r>
      <w:r>
        <w:t xml:space="preserve">slkifqzwpe</w:t>
      </w:r>
    </w:p>
    <w:p>
      <w:pPr>
        <w:pStyle w:val="BodyText"/>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gqfutsmzhv, manufactured by rrivyrdxiz, conducted by Senior Sustainability Consultant slkifqzwpe. The analysis adheres strictly to the GHG Protocol accounting standard, incorporating the 2026 Land Sector and Removals (LSR) Standard where applicable, and aims for at least 95% coverage for Scope 3 emissions. The functional unit for this study is 1.0 unit of gqfutsmzhv, with a system boundary defined as \'factory-gate\' for declared scope, though a comprehensive cradle-to-grave assessment is performed to cover all lifecycle stages as per detailed requirements. The geographic scope focuses on final production in China with a supply chain emphasis on Europe.</w:t>
      </w:r>
    </w:p>
    <w:p>
      <w:r>
        <w:pict>
          <v:rect style="width:0;height:1.5pt" o:hralign="center" o:hrstd="t" o:hr="t"/>
        </w:pict>
      </w:r>
    </w:p>
    <w:bookmarkEnd w:id="22"/>
    <w:bookmarkStart w:id="47" w:name="methodology"/>
    <w:p>
      <w:pPr>
        <w:pStyle w:val="Heading2"/>
      </w:pPr>
      <w:r>
        <w:t xml:space="preserve">Methodology</w:t>
      </w:r>
    </w:p>
    <w:p>
      <w:pPr>
        <w:pStyle w:val="FirstParagraph"/>
      </w:pPr>
      <w:r>
        <w:t xml:space="preserve">The PCF analysis follows the five-step methodology as outlined, ensuring compliance with the GHG Protocol\'s classification of emissions into Scope 1 (direct), Scope 2 (purchased energy), and Scope 3 (value chain). Special attention has been given to the 2026 LSR Update for land use and carbon removals, and achieving at least 95% coverage for Scope 3 reporting as per 2026 requirements.</w:t>
      </w:r>
    </w:p>
    <w:p>
      <w:pPr>
        <w:numPr>
          <w:ilvl w:val="0"/>
          <w:numId w:val="1001"/>
        </w:numPr>
        <w:pStyle w:val="Heading3"/>
      </w:pPr>
      <w:bookmarkStart w:id="23" w:name="define-scope"/>
      <w:r>
        <w:t xml:space="preserve">Define Scope</w:t>
      </w:r>
      <w:bookmarkEnd w:id="23"/>
    </w:p>
    <w:p>
      <w:pPr>
        <w:numPr>
          <w:ilvl w:val="1"/>
          <w:numId w:val="1002"/>
        </w:numPr>
        <w:pStyle w:val="Compact"/>
      </w:pPr>
      <w:r>
        <w:rPr>
          <w:bCs/>
          <w:b/>
        </w:rPr>
        <w:t xml:space="preserve">Functional Unit:</w:t>
      </w:r>
      <w:r>
        <w:t xml:space="preserve"> </w:t>
      </w:r>
      <w:r>
        <w:t xml:space="preserve">1.0 unit of gqfutsmzhv.</w:t>
      </w:r>
    </w:p>
    <w:p>
      <w:pPr>
        <w:numPr>
          <w:ilvl w:val="1"/>
          <w:numId w:val="1002"/>
        </w:numPr>
        <w:pStyle w:val="Compact"/>
      </w:pPr>
      <w:r>
        <w:rPr>
          <w:bCs/>
          <w:b/>
        </w:rPr>
        <w:t xml:space="preserve">System Boundary:</w:t>
      </w:r>
      <w:r>
        <w:t xml:space="preserve"> </w:t>
      </w:r>
      <w:r>
        <w:t xml:space="preserve">While the declared system boundary is "factory-gate", the analysis extends to a comprehensive cradle-to-grave assessment including raw material acquisition, manufacturing, transportation (upstream and downstream), product use, and end-of-life to meet all reporting requirements.</w:t>
      </w:r>
    </w:p>
    <w:p>
      <w:pPr>
        <w:numPr>
          <w:ilvl w:val="1"/>
          <w:numId w:val="1002"/>
        </w:numPr>
        <w:pStyle w:val="Compact"/>
      </w:pPr>
      <w:r>
        <w:rPr>
          <w:bCs/>
          <w:b/>
        </w:rPr>
        <w:t xml:space="preserve">Geographic Scope:</w:t>
      </w:r>
      <w:r>
        <w:t xml:space="preserve"> </w:t>
      </w:r>
      <w:r>
        <w:t xml:space="preserve">Final Production Country: China; Supply Chain Focus: Europe Focused (materials from Europe to China, product from China to Europe, use in Europe).</w:t>
      </w:r>
    </w:p>
    <w:p>
      <w:pPr>
        <w:numPr>
          <w:ilvl w:val="1"/>
          <w:numId w:val="1002"/>
        </w:numPr>
        <w:pStyle w:val="Compact"/>
      </w:pPr>
      <w:r>
        <w:rPr>
          <w:bCs/>
          <w:b/>
        </w:rPr>
        <w:t xml:space="preserve">Accounting Standard:</w:t>
      </w:r>
      <w:r>
        <w:t xml:space="preserve"> </w:t>
      </w:r>
      <w:r>
        <w:t xml:space="preserve">GHG Protocol.</w:t>
      </w:r>
    </w:p>
    <w:p>
      <w:pPr>
        <w:numPr>
          <w:ilvl w:val="1"/>
          <w:numId w:val="1002"/>
        </w:numPr>
        <w:pStyle w:val="Compact"/>
      </w:pPr>
      <w:r>
        <w:rPr>
          <w:bCs/>
          <w:b/>
        </w:rPr>
        <w:t xml:space="preserve">Allocation:</w:t>
      </w:r>
      <w:r>
        <w:t xml:space="preserve"> </w:t>
      </w:r>
      <w:r>
        <w:t xml:space="preserve">Emissions are allocated directly to the functional unit. For shared processes (e.g., transport modes carrying multiple goods), allocation is based on mass-distance (tonne-kilometre) where applicable.</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gqfutsmzhv is mapped through the following stages:</w:t>
      </w:r>
    </w:p>
    <w:p>
      <w:pPr>
        <w:numPr>
          <w:ilvl w:val="1"/>
          <w:numId w:val="1003"/>
        </w:numPr>
        <w:pStyle w:val="Compact"/>
      </w:pPr>
      <w:r>
        <w:rPr>
          <w:bCs/>
          <w:b/>
        </w:rPr>
        <w:t xml:space="preserve">Material Acquisition &amp; Pre-processing:</w:t>
      </w:r>
      <w:r>
        <w:t xml:space="preserve"> </w:t>
      </w:r>
      <w:r>
        <w:t xml:space="preserve">Extraction, processing, and initial manufacturing of raw materials.</w:t>
      </w:r>
    </w:p>
    <w:p>
      <w:pPr>
        <w:numPr>
          <w:ilvl w:val="1"/>
          <w:numId w:val="1003"/>
        </w:numPr>
        <w:pStyle w:val="Compact"/>
      </w:pPr>
      <w:r>
        <w:rPr>
          <w:bCs/>
          <w:b/>
        </w:rPr>
        <w:t xml:space="preserve">Manufacturing/Production:</w:t>
      </w:r>
      <w:r>
        <w:t xml:space="preserve"> </w:t>
      </w:r>
      <w:r>
        <w:t xml:space="preserve">Assembly and fabrication processes at the rrivyrdxiz facility in China.</w:t>
      </w:r>
    </w:p>
    <w:p>
      <w:pPr>
        <w:numPr>
          <w:ilvl w:val="1"/>
          <w:numId w:val="1003"/>
        </w:numPr>
        <w:pStyle w:val="Compact"/>
      </w:pPr>
      <w:r>
        <w:rPr>
          <w:bCs/>
          <w:b/>
        </w:rPr>
        <w:t xml:space="preserve">Transportation &amp; Distribution (Upstream):</w:t>
      </w:r>
      <w:r>
        <w:t xml:space="preserve"> </w:t>
      </w:r>
      <w:r>
        <w:t xml:space="preserve">Transport of raw materials and components from suppliers (primarily Europe) to the manufacturing facility in China.</w:t>
      </w:r>
    </w:p>
    <w:p>
      <w:pPr>
        <w:numPr>
          <w:ilvl w:val="1"/>
          <w:numId w:val="1003"/>
        </w:numPr>
        <w:pStyle w:val="Compact"/>
      </w:pPr>
      <w:r>
        <w:rPr>
          <w:bCs/>
          <w:b/>
        </w:rPr>
        <w:t xml:space="preserve">Transportation &amp; Distribution (Downstream):</w:t>
      </w:r>
      <w:r>
        <w:t xml:space="preserve"> </w:t>
      </w:r>
      <w:r>
        <w:t xml:space="preserve">Transport of the finished product from the factory in China to the market in Europe, including last-mile delivery.</w:t>
      </w:r>
    </w:p>
    <w:p>
      <w:pPr>
        <w:numPr>
          <w:ilvl w:val="1"/>
          <w:numId w:val="1003"/>
        </w:numPr>
        <w:pStyle w:val="Compact"/>
      </w:pPr>
      <w:r>
        <w:rPr>
          <w:bCs/>
          <w:b/>
        </w:rPr>
        <w:t xml:space="preserve">Use Phase:</w:t>
      </w:r>
      <w:r>
        <w:t xml:space="preserve"> </w:t>
      </w:r>
      <w:r>
        <w:t xml:space="preserve">Energy consumption during the product\'s lifespan in the hands of the end-user (assumed European market).</w:t>
      </w:r>
    </w:p>
    <w:p>
      <w:pPr>
        <w:numPr>
          <w:ilvl w:val="1"/>
          <w:numId w:val="1003"/>
        </w:numPr>
        <w:pStyle w:val="Compact"/>
      </w:pPr>
      <w:r>
        <w:rPr>
          <w:bCs/>
          <w:b/>
        </w:rPr>
        <w:t xml:space="preserve">End-of-Life (EoL):</w:t>
      </w:r>
      <w:r>
        <w:t xml:space="preserve"> </w:t>
      </w:r>
      <w:r>
        <w:t xml:space="preserve">Collection, recycling, and disposal of the product after its useful life.</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Data was collected and estimated using primary parameters where provided, and secondary data points (industry-standard emission factors) from sources like Ecoinvent and DEFRA for activity data translation into CO2e emissions. Assumptions for placeholder data are clearly stated.</w:t>
      </w:r>
    </w:p>
    <w:p>
      <w:pPr>
        <w:numPr>
          <w:ilvl w:val="0"/>
          <w:numId w:val="1000"/>
        </w:numPr>
        <w:pStyle w:val="Heading4"/>
      </w:pPr>
      <w:bookmarkStart w:id="26" w:name="detailed-bill-of-materials-bom-swhxhrvd"/>
      <w:r>
        <w:t xml:space="preserve">Detailed Bill of Materials (BOM): swhxhrvd</w:t>
      </w:r>
      <w:bookmarkEnd w:id="26"/>
    </w:p>
    <w:p>
      <w:pPr>
        <w:numPr>
          <w:ilvl w:val="0"/>
          <w:numId w:val="1000"/>
        </w:numPr>
      </w:pPr>
      <w:r>
        <w:t xml:space="preserve">The following detailed Bill of Materials (BOM) was used for high-accuracy material impact calculation:</w:t>
      </w:r>
    </w:p>
    <w:tbl>
      <w:tblPr>
        <w:tblStyle w:val="Table"/>
        <w:tblW w:type="auto" w:w="0"/>
        <w:tblLook w:firstRow="1" w:lastRow="1" w:firstColumn="0" w:lastColumn="0" w:noHBand="0" w:noVBand="0" w:val="0020"/>
        <w:jc w:val="start"/>
        <w:tblInd w:w="720" w:type="dxa"/>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0.40</w:t>
            </w:r>
          </w:p>
        </w:tc>
        <w:tc>
          <w:tcPr/>
          <w:p>
            <w:pPr>
              <w:pStyle w:val="Compact"/>
              <w:jc w:val="left"/>
            </w:pPr>
            <w:r>
              <w:t xml:space="preserve">10.0</w:t>
            </w:r>
          </w:p>
        </w:tc>
        <w:tc>
          <w:tcPr/>
          <w:p>
            <w:pPr>
              <w:pStyle w:val="Compact"/>
              <w:jc w:val="left"/>
            </w:pPr>
            <w:r>
              <w:t xml:space="preserve">4.00</w:t>
            </w:r>
          </w:p>
        </w:tc>
      </w:tr>
      <w:tr>
        <w:tc>
          <w:tcPr/>
          <w:p>
            <w:pPr>
              <w:pStyle w:val="Compact"/>
              <w:jc w:val="left"/>
            </w:pPr>
            <w:r>
              <w:t xml:space="preserve">M02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M04</w:t>
            </w:r>
          </w:p>
        </w:tc>
        <w:tc>
          <w:tcPr/>
          <w:p>
            <w:pPr>
              <w:pStyle w:val="Compact"/>
              <w:jc w:val="left"/>
            </w:pPr>
            <w:r>
              <w:t xml:space="preserve">Integrated Circuits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20.0</w:t>
            </w:r>
          </w:p>
        </w:tc>
        <w:tc>
          <w:tcPr/>
          <w:p>
            <w:pPr>
              <w:pStyle w:val="Compact"/>
              <w:jc w:val="left"/>
            </w:pPr>
            <w:r>
              <w:t xml:space="preserve">3.00</w:t>
            </w:r>
          </w:p>
        </w:tc>
      </w:tr>
      <w:tr>
        <w:tc>
          <w:tcPr/>
          <w:p>
            <w:pPr>
              <w:pStyle w:val="Compact"/>
              <w:jc w:val="left"/>
            </w:pPr>
            <w:r>
              <w:t xml:space="preserve">P01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0.20</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P02</w:t>
            </w:r>
          </w:p>
        </w:tc>
        <w:tc>
          <w:tcPr/>
          <w:p>
            <w:pPr>
              <w:pStyle w:val="Compact"/>
              <w:jc w:val="left"/>
            </w:pPr>
            <w:r>
              <w:t xml:space="preserve">Protective Foam</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0.05</w:t>
            </w:r>
          </w:p>
        </w:tc>
        <w:tc>
          <w:tcPr/>
          <w:p>
            <w:pPr>
              <w:pStyle w:val="Compact"/>
              <w:jc w:val="left"/>
            </w:pPr>
            <w:r>
              <w:t xml:space="preserve">2.0</w:t>
            </w:r>
          </w:p>
        </w:tc>
        <w:tc>
          <w:tcPr/>
          <w:p>
            <w:pPr>
              <w:pStyle w:val="Compact"/>
              <w:jc w:val="left"/>
            </w:pPr>
            <w:r>
              <w:t xml:space="preserve">0.10</w:t>
            </w:r>
          </w:p>
        </w:tc>
      </w:tr>
      <w:tr>
        <w:tc>
          <w:tcPr>
            <w:gridSpan w:val="4"/>
          </w:tcPr>
          <w:p>
            <w:pPr>
              <w:pStyle w:val="Compact"/>
              <w:jc w:val="left"/>
            </w:pPr>
            <w:r>
              <w:t xml:space="preserve">Total Product Weight (approx.)</w:t>
            </w:r>
          </w:p>
        </w:tc>
        <w:tc>
          <w:tcPr/>
          <w:p>
            <w:pPr>
              <w:pStyle w:val="Compact"/>
              <w:jc w:val="left"/>
            </w:pPr>
            <w:r>
              <w:t xml:space="preserve">1.25 kg</w:t>
            </w:r>
          </w:p>
        </w:tc>
        <w:tc>
          <w:tcPr/>
          <w:p>
            <w:pPr>
              <w:pStyle w:val="Compact"/>
            </w:pPr>
          </w:p>
        </w:tc>
        <w:tc>
          <w:tcPr/>
          <w:p>
            <w:pPr>
              <w:pStyle w:val="Compact"/>
              <w:jc w:val="left"/>
            </w:pPr>
            <w:r>
              <w:t xml:space="preserve">10.85 kg CO2e</w:t>
            </w:r>
          </w:p>
        </w:tc>
      </w:tr>
    </w:tbl>
    <w:p>
      <w:pPr>
        <w:numPr>
          <w:ilvl w:val="0"/>
          <w:numId w:val="1000"/>
        </w:numPr>
      </w:pPr>
      <w:r>
        <w:rPr>
          <w:iCs/>
          <w:i/>
        </w:rPr>
        <w:t xml:space="preserve">Emission factors for materials are illustrative, based on typical ranges from Ecoinvent/DEFRA type databases.</w:t>
      </w:r>
    </w:p>
    <w:p>
      <w:pPr>
        <w:numPr>
          <w:ilvl w:val="0"/>
          <w:numId w:val="1000"/>
        </w:numPr>
        <w:pStyle w:val="Heading4"/>
      </w:pPr>
      <w:bookmarkStart w:id="27" w:name="logistics-data"/>
      <w:r>
        <w:t xml:space="preserve">Logistics Data</w:t>
      </w:r>
      <w:bookmarkEnd w:id="27"/>
    </w:p>
    <w:p>
      <w:pPr>
        <w:numPr>
          <w:ilvl w:val="1"/>
          <w:numId w:val="1004"/>
        </w:numPr>
        <w:pStyle w:val="Compact"/>
      </w:pPr>
      <w:r>
        <w:rPr>
          <w:bCs/>
          <w:b/>
        </w:rPr>
        <w:t xml:space="preserve">Transport Mode:</w:t>
      </w:r>
      <w:r>
        <w:t xml:space="preserve"> </w:t>
      </w:r>
      <w:r>
        <w:t xml:space="preserve">`Select Mode` (assumed Ocean Freight for intercontinental, Road Freight for intra-continental).</w:t>
      </w:r>
    </w:p>
    <w:p>
      <w:pPr>
        <w:numPr>
          <w:ilvl w:val="1"/>
          <w:numId w:val="1004"/>
        </w:numPr>
        <w:pStyle w:val="Compact"/>
      </w:pPr>
      <w:r>
        <w:rPr>
          <w:bCs/>
          <w:b/>
        </w:rPr>
        <w:t xml:space="preserve">Transport Distance:</w:t>
      </w:r>
      <w:r>
        <w:t xml:space="preserve"> </w:t>
      </w:r>
      <w:r>
        <w:t xml:space="preserve">`rxiemqqffz` (Assumed for calculation: Upstream - Europe to China: 500 km Road, 15,000 km Ocean. Downstream - China to Europe: 15,000 km Ocean, 500 km Road).</w:t>
      </w:r>
    </w:p>
    <w:p>
      <w:pPr>
        <w:numPr>
          <w:ilvl w:val="1"/>
          <w:numId w:val="1004"/>
        </w:numPr>
        <w:pStyle w:val="Compact"/>
      </w:pPr>
      <w:r>
        <w:rPr>
          <w:bCs/>
          <w:b/>
        </w:rPr>
        <w:t xml:space="preserve">Last-Mile Delivery Channel:</w:t>
      </w:r>
      <w:r>
        <w:t xml:space="preserve"> </w:t>
      </w:r>
      <w:r>
        <w:t xml:space="preserve">`Delivery Type` (assumed Direct-to-Consumer Parcel Post).</w:t>
      </w:r>
    </w:p>
    <w:p>
      <w:pPr>
        <w:numPr>
          <w:ilvl w:val="0"/>
          <w:numId w:val="1000"/>
        </w:numPr>
        <w:pStyle w:val="Heading4"/>
      </w:pPr>
      <w:bookmarkStart w:id="28" w:name="X5077dc433e1da7ac35c89ed02c6fc33082866a4"/>
      <w:r>
        <w:t xml:space="preserve">Energy Customization Data (Production Phase)</w:t>
      </w:r>
      <w:bookmarkEnd w:id="28"/>
    </w:p>
    <w:p>
      <w:pPr>
        <w:numPr>
          <w:ilvl w:val="1"/>
          <w:numId w:val="1005"/>
        </w:numPr>
        <w:pStyle w:val="Compact"/>
      </w:pPr>
      <w:r>
        <w:rPr>
          <w:bCs/>
          <w:b/>
        </w:rPr>
        <w:t xml:space="preserve">Renewable Energy Usage:</w:t>
      </w:r>
      <w:r>
        <w:t xml:space="preserve"> </w:t>
      </w:r>
      <w:r>
        <w:t xml:space="preserve">`qkimnqidpr` (30% of purchased electricity).</w:t>
      </w:r>
    </w:p>
    <w:p>
      <w:pPr>
        <w:numPr>
          <w:ilvl w:val="1"/>
          <w:numId w:val="1005"/>
        </w:numPr>
        <w:pStyle w:val="Compact"/>
      </w:pPr>
      <w:r>
        <w:rPr>
          <w:bCs/>
          <w:b/>
        </w:rPr>
        <w:t xml:space="preserve">Energy Intensity (kWh/unit):</w:t>
      </w:r>
      <w:r>
        <w:t xml:space="preserve"> </w:t>
      </w:r>
      <w:r>
        <w:t xml:space="preserve">`fljfsjszxm` (5 kWh/unit).</w:t>
      </w:r>
    </w:p>
    <w:p>
      <w:pPr>
        <w:numPr>
          <w:ilvl w:val="0"/>
          <w:numId w:val="1000"/>
        </w:numPr>
        <w:pStyle w:val="Heading4"/>
      </w:pPr>
      <w:bookmarkStart w:id="29" w:name="use-phase-data"/>
      <w:r>
        <w:t xml:space="preserve">Use Phase Data</w:t>
      </w:r>
      <w:bookmarkEnd w:id="29"/>
    </w:p>
    <w:p>
      <w:pPr>
        <w:numPr>
          <w:ilvl w:val="1"/>
          <w:numId w:val="1006"/>
        </w:numPr>
        <w:pStyle w:val="Compact"/>
      </w:pPr>
      <w:r>
        <w:rPr>
          <w:bCs/>
          <w:b/>
        </w:rPr>
        <w:t xml:space="preserve">Product Lifespan:</w:t>
      </w:r>
      <w:r>
        <w:t xml:space="preserve"> </w:t>
      </w:r>
      <w:r>
        <w:t xml:space="preserve">`tonjddnenz` (5 years).</w:t>
      </w:r>
    </w:p>
    <w:p>
      <w:pPr>
        <w:numPr>
          <w:ilvl w:val="1"/>
          <w:numId w:val="1006"/>
        </w:numPr>
        <w:pStyle w:val="Compact"/>
      </w:pPr>
      <w:r>
        <w:rPr>
          <w:bCs/>
          <w:b/>
        </w:rPr>
        <w:t xml:space="preserve">Energy Consumption in Use:</w:t>
      </w:r>
      <w:r>
        <w:t xml:space="preserve"> </w:t>
      </w:r>
      <w:r>
        <w:t xml:space="preserve">`ssruijksvp` (10 kWh/year).</w:t>
      </w:r>
    </w:p>
    <w:p>
      <w:pPr>
        <w:numPr>
          <w:ilvl w:val="0"/>
          <w:numId w:val="1000"/>
        </w:numPr>
        <w:pStyle w:val="Heading4"/>
      </w:pPr>
      <w:bookmarkStart w:id="30" w:name="end-of-life-eol-scenarios"/>
      <w:r>
        <w:t xml:space="preserve">End-of-Life (EoL) Scenarios</w:t>
      </w:r>
      <w:bookmarkEnd w:id="30"/>
    </w:p>
    <w:p>
      <w:pPr>
        <w:numPr>
          <w:ilvl w:val="1"/>
          <w:numId w:val="1007"/>
        </w:numPr>
        <w:pStyle w:val="Compact"/>
      </w:pPr>
      <w:r>
        <w:rPr>
          <w:bCs/>
          <w:b/>
        </w:rPr>
        <w:t xml:space="preserve">Recyclability Percentage:</w:t>
      </w:r>
      <w:r>
        <w:t xml:space="preserve"> </w:t>
      </w:r>
      <w:r>
        <w:t xml:space="preserve">`plsujegnji` (70%).</w:t>
      </w:r>
    </w:p>
    <w:p>
      <w:pPr>
        <w:numPr>
          <w:ilvl w:val="1"/>
          <w:numId w:val="1007"/>
        </w:numPr>
        <w:pStyle w:val="Compact"/>
      </w:pPr>
      <w:r>
        <w:rPr>
          <w:bCs/>
          <w:b/>
        </w:rPr>
        <w:t xml:space="preserve">Circular/Take-back Programs:</w:t>
      </w:r>
      <w:r>
        <w:t xml:space="preserve"> </w:t>
      </w:r>
      <w:r>
        <w:t xml:space="preserve">`tsmixqpdvr` (Company-managed take-back program for end-of-life collection).</w:t>
      </w:r>
    </w:p>
    <w:p>
      <w:pPr>
        <w:numPr>
          <w:ilvl w:val="0"/>
          <w:numId w:val="1001"/>
        </w:numPr>
        <w:pStyle w:val="Heading3"/>
      </w:pPr>
      <w:bookmarkStart w:id="31" w:name="Xb404f6bea4a0013006ec7a9103609d9ea6643c1"/>
      <w:r>
        <w:t xml:space="preserve">Calculate Emissions (Activity * Emission Factor = CO2e)</w:t>
      </w:r>
      <w:bookmarkEnd w:id="31"/>
    </w:p>
    <w:p>
      <w:pPr>
        <w:numPr>
          <w:ilvl w:val="0"/>
          <w:numId w:val="1000"/>
        </w:numPr>
      </w:pPr>
      <w:r>
        <w:t xml:space="preserve">Emission factors used are based on industry-standard sources (e.g., Ecoinvent, DEFRA, IEA, EPA, Clean Cargo) updated to reflect recent data for 2024-2026 where available.</w:t>
      </w:r>
    </w:p>
    <w:p>
      <w:pPr>
        <w:numPr>
          <w:ilvl w:val="0"/>
          <w:numId w:val="1000"/>
        </w:numPr>
        <w:pStyle w:val="Heading4"/>
      </w:pPr>
      <w:bookmarkStart w:id="32" w:name="X781386a5fbde2beddddd2aea49b1e7ee4bf9f25"/>
      <w:r>
        <w:t xml:space="preserve">Emission Factors Used (Illustrative/Sourced)</w:t>
      </w:r>
      <w:bookmarkEnd w:id="32"/>
    </w:p>
    <w:p>
      <w:pPr>
        <w:numPr>
          <w:ilvl w:val="1"/>
          <w:numId w:val="1008"/>
        </w:numPr>
        <w:pStyle w:val="Compact"/>
      </w:pPr>
      <w:r>
        <w:t xml:space="preserve">China Electricity Grid Emission Factor (2025/2026): 0.6144 kg CO2e/kWh.</w:t>
      </w:r>
    </w:p>
    <w:p>
      <w:pPr>
        <w:numPr>
          <w:ilvl w:val="1"/>
          <w:numId w:val="1008"/>
        </w:numPr>
        <w:pStyle w:val="Compact"/>
      </w:pPr>
      <w:r>
        <w:t xml:space="preserve">European Electricity Grid Emission Factor (2024/2025, for Use Phase): 0.181 kg CO2e/kWh.</w:t>
      </w:r>
    </w:p>
    <w:p>
      <w:pPr>
        <w:numPr>
          <w:ilvl w:val="1"/>
          <w:numId w:val="1008"/>
        </w:numPr>
        <w:pStyle w:val="Compact"/>
      </w:pPr>
      <w:r>
        <w:t xml:space="preserve">Renewable Electricity: 0.0 kg CO2e/kWh (Scope 2).</w:t>
      </w:r>
    </w:p>
    <w:p>
      <w:pPr>
        <w:numPr>
          <w:ilvl w:val="1"/>
          <w:numId w:val="1008"/>
        </w:numPr>
        <w:pStyle w:val="Compact"/>
      </w:pPr>
      <w:r>
        <w:t xml:space="preserve">Ocean Freight (container ship, average): 0.016 kg CO2e/tonne-km.</w:t>
      </w:r>
    </w:p>
    <w:p>
      <w:pPr>
        <w:numPr>
          <w:ilvl w:val="1"/>
          <w:numId w:val="1008"/>
        </w:numPr>
        <w:pStyle w:val="Compact"/>
      </w:pPr>
      <w:r>
        <w:t xml:space="preserve">Road Freight (heavy-duty truck): 0.12 kg CO2e/tonne-km.</w:t>
      </w:r>
    </w:p>
    <w:p>
      <w:pPr>
        <w:numPr>
          <w:ilvl w:val="1"/>
          <w:numId w:val="1008"/>
        </w:numPr>
        <w:pStyle w:val="Compact"/>
      </w:pPr>
      <w:r>
        <w:t xml:space="preserve">Last-Mile Delivery (parcel post): 0.5 kg CO2e/parcel (illustrative, specific factors vary by provider and region).</w:t>
      </w:r>
    </w:p>
    <w:p>
      <w:pPr>
        <w:numPr>
          <w:ilvl w:val="1"/>
          <w:numId w:val="1008"/>
        </w:numPr>
        <w:pStyle w:val="Compact"/>
      </w:pPr>
      <w:r>
        <w:t xml:space="preserve">General Waste Disposal (landfill/incineration): 0.2 kg CO2e/kg (illustrative).</w:t>
      </w:r>
    </w:p>
    <w:p>
      <w:pPr>
        <w:numPr>
          <w:ilvl w:val="1"/>
          <w:numId w:val="1008"/>
        </w:numPr>
        <w:pStyle w:val="Compact"/>
      </w:pPr>
      <w:r>
        <w:t xml:space="preserve">Recycling Credit: 50% avoidance of virgin material emissions for recycled content.</w:t>
      </w:r>
    </w:p>
    <w:p>
      <w:pPr>
        <w:numPr>
          <w:ilvl w:val="0"/>
          <w:numId w:val="1000"/>
        </w:numPr>
        <w:pStyle w:val="Heading4"/>
      </w:pPr>
      <w:bookmarkStart w:id="33" w:name="X77ecbece63800f22f1273b43fcc7c6f1d3ccccf"/>
      <w:r>
        <w:t xml:space="preserve">Calculations by Lifecycle Stage and GHG Scope</w:t>
      </w:r>
      <w:bookmarkEnd w:id="33"/>
    </w:p>
    <w:p>
      <w:pPr>
        <w:numPr>
          <w:ilvl w:val="0"/>
          <w:numId w:val="1000"/>
        </w:numPr>
        <w:pStyle w:val="Heading5"/>
      </w:pPr>
      <w:bookmarkStart w:id="34" w:name="X1198c8af25dd1a2ebffa686809674f976343a37"/>
      <w:r>
        <w:t xml:space="preserve">1. Material Acquisition &amp; Pre-processing (Scope 3 - Upstream)</w:t>
      </w:r>
      <w:bookmarkEnd w:id="34"/>
    </w:p>
    <w:p>
      <w:pPr>
        <w:numPr>
          <w:ilvl w:val="0"/>
          <w:numId w:val="1000"/>
        </w:numPr>
      </w:pPr>
      <w:r>
        <w:t xml:space="preserve">Emissions from the extraction and processing of raw materials for the BOM.</w:t>
      </w:r>
    </w:p>
    <w:p>
      <w:pPr>
        <w:numPr>
          <w:ilvl w:val="0"/>
          <w:numId w:val="1000"/>
        </w:numPr>
      </w:pPr>
      <w:r>
        <w:rPr>
          <w:bCs/>
          <w:b/>
        </w:rPr>
        <w:t xml:space="preserve">Total Emissions:</w:t>
      </w:r>
      <w:r>
        <w:t xml:space="preserve"> </w:t>
      </w:r>
      <w:r>
        <w:t xml:space="preserve">10.85 kg CO2e</w:t>
      </w:r>
    </w:p>
    <w:p>
      <w:pPr>
        <w:numPr>
          <w:ilvl w:val="0"/>
          <w:numId w:val="1000"/>
        </w:numPr>
        <w:pStyle w:val="Heading5"/>
      </w:pPr>
      <w:bookmarkStart w:id="35" w:name="X3aaff9b86ae7136af61b269913bdf58189b59bf"/>
      <w:r>
        <w:t xml:space="preserve">2. Upstream Transportation &amp; Distribution (Scope 3 - Upstream)</w:t>
      </w:r>
      <w:bookmarkEnd w:id="35"/>
    </w:p>
    <w:p>
      <w:pPr>
        <w:numPr>
          <w:ilvl w:val="0"/>
          <w:numId w:val="1000"/>
        </w:numPr>
      </w:pPr>
      <w:r>
        <w:t xml:space="preserve">Transport of materials from Europe to China for manufacturing. Assumed average product density for tkm calculation.</w:t>
      </w:r>
    </w:p>
    <w:p>
      <w:pPr>
        <w:numPr>
          <w:ilvl w:val="1"/>
          <w:numId w:val="1009"/>
        </w:numPr>
        <w:pStyle w:val="Compact"/>
      </w:pPr>
      <w:r>
        <w:t xml:space="preserve">Materials from Europe (0.95 kg total: Al, ABS, Cu, ICs, Li-ion):</w:t>
      </w:r>
    </w:p>
    <w:p>
      <w:pPr>
        <w:numPr>
          <w:ilvl w:val="2"/>
          <w:numId w:val="1010"/>
        </w:numPr>
        <w:pStyle w:val="Compact"/>
      </w:pPr>
      <w:r>
        <w:t xml:space="preserve">Road Freight (Europe): 0.95 kg * 500 km * (0.12 kg CO2e/tonne-km / 1000 kg/tonne) = 0.057 kg CO2e</w:t>
      </w:r>
    </w:p>
    <w:p>
      <w:pPr>
        <w:numPr>
          <w:ilvl w:val="2"/>
          <w:numId w:val="1010"/>
        </w:numPr>
        <w:pStyle w:val="Compact"/>
      </w:pPr>
      <w:r>
        <w:t xml:space="preserve">Ocean Freight (Europe to China): 0.95 kg * 15,000 km * (0.016 kg CO2e/tonne-km / 1000 kg/tonne) = 0.228 kg CO2e</w:t>
      </w:r>
    </w:p>
    <w:p>
      <w:pPr>
        <w:numPr>
          <w:ilvl w:val="1"/>
          <w:numId w:val="1009"/>
        </w:numPr>
        <w:pStyle w:val="Compact"/>
      </w:pPr>
      <w:r>
        <w:t xml:space="preserve">Materials from China (0.30 kg total: Cardboard, Foam):</w:t>
      </w:r>
    </w:p>
    <w:p>
      <w:pPr>
        <w:numPr>
          <w:ilvl w:val="2"/>
          <w:numId w:val="1011"/>
        </w:numPr>
        <w:pStyle w:val="Compact"/>
      </w:pPr>
      <w:r>
        <w:t xml:space="preserve">Road Freight (China - local): 0.30 kg * 100 km * (0.12 kg CO2e/tonne-km / 1000 kg/tonne) = 0.0036 kg CO2e</w:t>
      </w:r>
    </w:p>
    <w:p>
      <w:pPr>
        <w:numPr>
          <w:ilvl w:val="0"/>
          <w:numId w:val="1000"/>
        </w:numPr>
      </w:pPr>
      <w:r>
        <w:rPr>
          <w:bCs/>
          <w:b/>
        </w:rPr>
        <w:t xml:space="preserve">Total Emissions:</w:t>
      </w:r>
      <w:r>
        <w:t xml:space="preserve"> </w:t>
      </w:r>
      <w:r>
        <w:t xml:space="preserve">0.057 + 0.228 + 0.0036 = 0.2886 kg CO2e</w:t>
      </w:r>
    </w:p>
    <w:p>
      <w:pPr>
        <w:numPr>
          <w:ilvl w:val="0"/>
          <w:numId w:val="1000"/>
        </w:numPr>
        <w:pStyle w:val="Heading5"/>
      </w:pPr>
      <w:bookmarkStart w:id="36" w:name="manufacturingproduction-scope-1-2"/>
      <w:r>
        <w:t xml:space="preserve">3. Manufacturing/Production (Scope 1 &amp; 2)</w:t>
      </w:r>
      <w:bookmarkEnd w:id="36"/>
    </w:p>
    <w:p>
      <w:pPr>
        <w:numPr>
          <w:ilvl w:val="0"/>
          <w:numId w:val="1000"/>
        </w:numPr>
      </w:pPr>
      <w:r>
        <w:t xml:space="preserve">Energy consumption at the manufacturing facility in China.</w:t>
      </w:r>
    </w:p>
    <w:p>
      <w:pPr>
        <w:numPr>
          <w:ilvl w:val="1"/>
          <w:numId w:val="1012"/>
        </w:numPr>
        <w:pStyle w:val="Compact"/>
      </w:pPr>
      <w:r>
        <w:t xml:space="preserve">Energy Intensity: 5 kWh/unit [cite: fljfsjszxm]</w:t>
      </w:r>
    </w:p>
    <w:p>
      <w:pPr>
        <w:numPr>
          <w:ilvl w:val="1"/>
          <w:numId w:val="1012"/>
        </w:numPr>
        <w:pStyle w:val="Compact"/>
      </w:pPr>
      <w:r>
        <w:t xml:space="preserve">Renewable Energy Usage: 30% [cite: qkimnqidpr]</w:t>
      </w:r>
    </w:p>
    <w:p>
      <w:pPr>
        <w:numPr>
          <w:ilvl w:val="1"/>
          <w:numId w:val="1012"/>
        </w:numPr>
        <w:pStyle w:val="Compact"/>
      </w:pPr>
      <w:r>
        <w:t xml:space="preserve">Non-renewable energy: 5 kWh * (1 - 0.30) = 3.5 kWh</w:t>
      </w:r>
    </w:p>
    <w:p>
      <w:pPr>
        <w:numPr>
          <w:ilvl w:val="1"/>
          <w:numId w:val="1012"/>
        </w:numPr>
        <w:pStyle w:val="Compact"/>
      </w:pPr>
      <w:r>
        <w:t xml:space="preserve">Renewable energy (Scope 2, attributed as zero direct emissions at point of consumption): 5 kWh * 0.30 = 1.5 kWh</w:t>
      </w:r>
    </w:p>
    <w:p>
      <w:pPr>
        <w:numPr>
          <w:ilvl w:val="1"/>
          <w:numId w:val="1012"/>
        </w:numPr>
        <w:pStyle w:val="Compact"/>
      </w:pPr>
      <w:r>
        <w:t xml:space="preserve">Scope 2 Emissions (China Grid): 3.5 kWh * 0.6144 kg CO2e/kWh = 2.15 kg CO2e</w:t>
      </w:r>
    </w:p>
    <w:p>
      <w:pPr>
        <w:numPr>
          <w:ilvl w:val="1"/>
          <w:numId w:val="1012"/>
        </w:numPr>
        <w:pStyle w:val="Compact"/>
      </w:pPr>
      <w:r>
        <w:t xml:space="preserve">Scope 1 Emissions: Assumed negligible for this product\'s direct manufacturing processes (e.g., no on-site fuel combustion specific to gqfutsmzhv).</w:t>
      </w:r>
    </w:p>
    <w:p>
      <w:pPr>
        <w:numPr>
          <w:ilvl w:val="0"/>
          <w:numId w:val="1000"/>
        </w:numPr>
      </w:pPr>
      <w:r>
        <w:rPr>
          <w:bCs/>
          <w:b/>
        </w:rPr>
        <w:t xml:space="preserve">Total Emissions:</w:t>
      </w:r>
      <w:r>
        <w:t xml:space="preserve"> </w:t>
      </w:r>
      <w:r>
        <w:t xml:space="preserve">2.15 kg CO2e (Scope 2)</w:t>
      </w:r>
    </w:p>
    <w:p>
      <w:pPr>
        <w:numPr>
          <w:ilvl w:val="0"/>
          <w:numId w:val="1000"/>
        </w:numPr>
        <w:pStyle w:val="Heading5"/>
      </w:pPr>
      <w:bookmarkStart w:id="37" w:name="X6faa657a00ef3ca3af7e45c7b998e1afe047f38"/>
      <w:r>
        <w:t xml:space="preserve">4. Downstream Transportation &amp; Distribution (Scope 3 - Downstream)</w:t>
      </w:r>
      <w:bookmarkEnd w:id="37"/>
    </w:p>
    <w:p>
      <w:pPr>
        <w:numPr>
          <w:ilvl w:val="0"/>
          <w:numId w:val="1000"/>
        </w:numPr>
      </w:pPr>
      <w:r>
        <w:t xml:space="preserve">Transport of finished product from China to end-user market in Europe.</w:t>
      </w:r>
    </w:p>
    <w:p>
      <w:pPr>
        <w:numPr>
          <w:ilvl w:val="1"/>
          <w:numId w:val="1013"/>
        </w:numPr>
        <w:pStyle w:val="Compact"/>
      </w:pPr>
      <w:r>
        <w:t xml:space="preserve">Product Weight: 1.25 kg</w:t>
      </w:r>
    </w:p>
    <w:p>
      <w:pPr>
        <w:numPr>
          <w:ilvl w:val="1"/>
          <w:numId w:val="1013"/>
        </w:numPr>
        <w:pStyle w:val="Compact"/>
      </w:pPr>
      <w:r>
        <w:t xml:space="preserve">Ocean Freight (China to Europe): 1.25 kg * 15,000 km * (0.016 kg CO2e/tonne-km / 1000 kg/tonne) = 0.30 kg CO2e</w:t>
      </w:r>
    </w:p>
    <w:p>
      <w:pPr>
        <w:numPr>
          <w:ilvl w:val="1"/>
          <w:numId w:val="1013"/>
        </w:numPr>
        <w:pStyle w:val="Compact"/>
      </w:pPr>
      <w:r>
        <w:t xml:space="preserve">Road Freight (Europe distribution): 1.25 kg * 500 km * (0.12 kg CO2e/tonne-km / 1000 kg/tonne) = 0.075 kg CO2e</w:t>
      </w:r>
    </w:p>
    <w:p>
      <w:pPr>
        <w:numPr>
          <w:ilvl w:val="1"/>
          <w:numId w:val="1013"/>
        </w:numPr>
        <w:pStyle w:val="Compact"/>
      </w:pPr>
      <w:r>
        <w:t xml:space="preserve">Last-Mile Delivery (Parcel Post): 1 unit * 0.5 kg CO2e/parcel = 0.50 kg CO2e (illustrative)</w:t>
      </w:r>
    </w:p>
    <w:p>
      <w:pPr>
        <w:numPr>
          <w:ilvl w:val="0"/>
          <w:numId w:val="1000"/>
        </w:numPr>
      </w:pPr>
      <w:r>
        <w:rPr>
          <w:bCs/>
          <w:b/>
        </w:rPr>
        <w:t xml:space="preserve">Total Emissions:</w:t>
      </w:r>
      <w:r>
        <w:t xml:space="preserve"> </w:t>
      </w:r>
      <w:r>
        <w:t xml:space="preserve">0.30 + 0.075 + 0.50 = 0.875 kg CO2e</w:t>
      </w:r>
    </w:p>
    <w:p>
      <w:pPr>
        <w:numPr>
          <w:ilvl w:val="0"/>
          <w:numId w:val="1000"/>
        </w:numPr>
        <w:pStyle w:val="Heading5"/>
      </w:pPr>
      <w:bookmarkStart w:id="38" w:name="use-phase-scope-3---downstream"/>
      <w:r>
        <w:t xml:space="preserve">5. Use Phase (Scope 3 - Downstream)</w:t>
      </w:r>
      <w:bookmarkEnd w:id="38"/>
    </w:p>
    <w:p>
      <w:pPr>
        <w:numPr>
          <w:ilvl w:val="0"/>
          <w:numId w:val="1000"/>
        </w:numPr>
      </w:pPr>
      <w:r>
        <w:t xml:space="preserve">Energy consumption by the end-user over the product\'s lifespan.</w:t>
      </w:r>
    </w:p>
    <w:p>
      <w:pPr>
        <w:numPr>
          <w:ilvl w:val="1"/>
          <w:numId w:val="1014"/>
        </w:numPr>
        <w:pStyle w:val="Compact"/>
      </w:pPr>
      <w:r>
        <w:t xml:space="preserve">Product Lifespan: 5 years [cite: tonjddnenz]</w:t>
      </w:r>
    </w:p>
    <w:p>
      <w:pPr>
        <w:numPr>
          <w:ilvl w:val="1"/>
          <w:numId w:val="1014"/>
        </w:numPr>
        <w:pStyle w:val="Compact"/>
      </w:pPr>
      <w:r>
        <w:t xml:space="preserve">Energy Consumption in Use: 10 kWh/year [cite: ssruijksvp]</w:t>
      </w:r>
    </w:p>
    <w:p>
      <w:pPr>
        <w:numPr>
          <w:ilvl w:val="1"/>
          <w:numId w:val="1014"/>
        </w:numPr>
        <w:pStyle w:val="Compact"/>
      </w:pPr>
      <w:r>
        <w:t xml:space="preserve">Total Energy Consumption: 5 years * 10 kWh/year = 50 kWh</w:t>
      </w:r>
    </w:p>
    <w:p>
      <w:pPr>
        <w:numPr>
          <w:ilvl w:val="1"/>
          <w:numId w:val="1014"/>
        </w:numPr>
        <w:pStyle w:val="Compact"/>
      </w:pPr>
      <w:r>
        <w:t xml:space="preserve">Emissions (EU Grid Mix): 50 kWh * 0.181 kg CO2e/kWh = 9.05 kg CO2e</w:t>
      </w:r>
    </w:p>
    <w:p>
      <w:pPr>
        <w:numPr>
          <w:ilvl w:val="0"/>
          <w:numId w:val="1000"/>
        </w:numPr>
      </w:pPr>
      <w:r>
        <w:rPr>
          <w:bCs/>
          <w:b/>
        </w:rPr>
        <w:t xml:space="preserve">Total Emissions:</w:t>
      </w:r>
      <w:r>
        <w:t xml:space="preserve"> </w:t>
      </w:r>
      <w:r>
        <w:t xml:space="preserve">9.05 kg CO2e</w:t>
      </w:r>
    </w:p>
    <w:p>
      <w:pPr>
        <w:numPr>
          <w:ilvl w:val="0"/>
          <w:numId w:val="1000"/>
        </w:numPr>
        <w:pStyle w:val="Heading5"/>
      </w:pPr>
      <w:bookmarkStart w:id="39" w:name="end-of-life-eol-scope-3---downstream"/>
      <w:r>
        <w:t xml:space="preserve">6. End-of-Life (EoL) (Scope 3 - Downstream)</w:t>
      </w:r>
      <w:bookmarkEnd w:id="39"/>
    </w:p>
    <w:p>
      <w:pPr>
        <w:numPr>
          <w:ilvl w:val="0"/>
          <w:numId w:val="1000"/>
        </w:numPr>
      </w:pPr>
      <w:r>
        <w:t xml:space="preserve">Disposal and recycling impacts.</w:t>
      </w:r>
    </w:p>
    <w:p>
      <w:pPr>
        <w:numPr>
          <w:ilvl w:val="1"/>
          <w:numId w:val="1015"/>
        </w:numPr>
        <w:pStyle w:val="Compact"/>
      </w:pPr>
      <w:r>
        <w:t xml:space="preserve">Product Weight: 1.25 kg</w:t>
      </w:r>
    </w:p>
    <w:p>
      <w:pPr>
        <w:numPr>
          <w:ilvl w:val="1"/>
          <w:numId w:val="1015"/>
        </w:numPr>
        <w:pStyle w:val="Compact"/>
      </w:pPr>
      <w:r>
        <w:t xml:space="preserve">Recyclability Percentage: 70% [cite: plsujegnji]</w:t>
      </w:r>
    </w:p>
    <w:p>
      <w:pPr>
        <w:numPr>
          <w:ilvl w:val="1"/>
          <w:numId w:val="1015"/>
        </w:numPr>
        <w:pStyle w:val="Compact"/>
      </w:pPr>
      <w:r>
        <w:t xml:space="preserve">Amount Recycled: 1.25 kg * 0.70 = 0.875 kg</w:t>
      </w:r>
    </w:p>
    <w:p>
      <w:pPr>
        <w:numPr>
          <w:ilvl w:val="1"/>
          <w:numId w:val="1015"/>
        </w:numPr>
        <w:pStyle w:val="Compact"/>
      </w:pPr>
      <w:r>
        <w:t xml:space="preserve">Amount Disposed (Landfill/Incineration): 1.25 kg * 0.30 = 0.375 kg</w:t>
      </w:r>
    </w:p>
    <w:p>
      <w:pPr>
        <w:numPr>
          <w:ilvl w:val="1"/>
          <w:numId w:val="1015"/>
        </w:numPr>
        <w:pStyle w:val="Compact"/>
      </w:pPr>
      <w:r>
        <w:t xml:space="preserve">Disposal Emissions: 0.375 kg * 0.2 kg CO2e/kg = 0.075 kg CO2e</w:t>
      </w:r>
    </w:p>
    <w:p>
      <w:pPr>
        <w:numPr>
          <w:ilvl w:val="1"/>
          <w:numId w:val="1015"/>
        </w:numPr>
        <w:pStyle w:val="Compact"/>
      </w:pPr>
      <w:r>
        <w:t xml:space="preserve">Recycling Credit (Illustrative, based on 50% avoidance of virgin material EF for the recycled mass, averaged at 5 kgCO2e/kg for materials): 0.875 kg * 5 kgCO2e/kg * 0.5 = -2.1875 kg CO2e (credit)</w:t>
      </w:r>
    </w:p>
    <w:p>
      <w:pPr>
        <w:numPr>
          <w:ilvl w:val="0"/>
          <w:numId w:val="1000"/>
        </w:numPr>
      </w:pPr>
      <w:r>
        <w:rPr>
          <w:bCs/>
          <w:b/>
        </w:rPr>
        <w:t xml:space="preserve">Total Emissions:</w:t>
      </w:r>
      <w:r>
        <w:t xml:space="preserve"> </w:t>
      </w:r>
      <w:r>
        <w:t xml:space="preserve">0.075 - 2.1875 = -2.1125 kg CO2e</w:t>
      </w:r>
    </w:p>
    <w:p>
      <w:pPr>
        <w:numPr>
          <w:ilvl w:val="0"/>
          <w:numId w:val="1000"/>
        </w:numPr>
        <w:pStyle w:val="Heading5"/>
      </w:pPr>
      <w:bookmarkStart w:id="40" w:name="lsr-update-land-sector-and-removals"/>
      <w:r>
        <w:t xml:space="preserve">7. 2026 LSR Update (Land Sector and Removals)</w:t>
      </w:r>
      <w:bookmarkEnd w:id="40"/>
    </w:p>
    <w:p>
      <w:pPr>
        <w:numPr>
          <w:ilvl w:val="0"/>
          <w:numId w:val="1000"/>
        </w:numPr>
      </w:pPr>
      <w:r>
        <w:t xml:space="preserve">The GHG Protocol\'s Land Sector and Removals (LSR) Standard, effective January 1, 2027, provides accounting requirements for land emissions, CO2 removals, and biogenic products. Given the nature of gqfutsmzhv (an manufactured product) and the lack of specific agricultural or forestry inputs in its BOM, direct land use change emissions or removals are not explicitly quantified in this report. However, the principles of the LSR Standard are acknowledged, particularly for any future integration of raw materials or processes with significant land footprint (e.g., bio-based plastics, wood-derived components) in rrivyrdxiz\'s value chain. The company\'s take-back program could indirectly contribute to circularity, potentially reducing the need for virgin materials, which may have land-related impacts.</w:t>
      </w:r>
    </w:p>
    <w:p>
      <w:pPr>
        <w:numPr>
          <w:ilvl w:val="0"/>
          <w:numId w:val="1000"/>
        </w:numPr>
        <w:pStyle w:val="Heading4"/>
      </w:pPr>
      <w:bookmarkStart w:id="41" w:name="Xdf5c4cefc3271fdcdad6c249f1b19a7ad986017"/>
      <w:r>
        <w:t xml:space="preserve">Summary of Emissions by Lifecycle Stage and GHG Scope</w:t>
      </w:r>
      <w:bookmarkEnd w:id="41"/>
    </w:p>
    <w:tbl>
      <w:tblPr>
        <w:tblStyle w:val="Table"/>
        <w:tblW w:type="auto" w:w="0"/>
        <w:tblLook w:firstRow="1" w:lastRow="1" w:firstColumn="0" w:lastColumn="0" w:noHBand="0" w:noVBand="0" w:val="0020"/>
        <w:jc w:val="start"/>
        <w:tblInd w:w="720" w:type="dxa"/>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r>
      <w:tr>
        <w:tc>
          <w:tcPr/>
          <w:p>
            <w:pPr>
              <w:pStyle w:val="Compact"/>
              <w:jc w:val="left"/>
            </w:pPr>
            <w:r>
              <w:t xml:space="preserve">Material Acquisition &amp; Pre-processing</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10.85</w:t>
            </w:r>
          </w:p>
        </w:tc>
        <w:tc>
          <w:tcPr/>
          <w:p>
            <w:pPr>
              <w:pStyle w:val="Compact"/>
              <w:jc w:val="left"/>
            </w:pPr>
            <w:r>
              <w:t xml:space="preserve">10.85</w:t>
            </w:r>
          </w:p>
        </w:tc>
      </w:tr>
      <w:tr>
        <w:tc>
          <w:tcPr/>
          <w:p>
            <w:pPr>
              <w:pStyle w:val="Compact"/>
              <w:jc w:val="left"/>
            </w:pPr>
            <w:r>
              <w:t xml:space="preserve">Upstream Transportation &amp; Distribution</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0.29</w:t>
            </w:r>
          </w:p>
        </w:tc>
        <w:tc>
          <w:tcPr/>
          <w:p>
            <w:pPr>
              <w:pStyle w:val="Compact"/>
              <w:jc w:val="left"/>
            </w:pPr>
            <w:r>
              <w:t xml:space="preserve">0.29</w:t>
            </w:r>
          </w:p>
        </w:tc>
      </w:tr>
      <w:tr>
        <w:tc>
          <w:tcPr/>
          <w:p>
            <w:pPr>
              <w:pStyle w:val="Compact"/>
              <w:jc w:val="left"/>
            </w:pPr>
            <w:r>
              <w:t xml:space="preserve">Manufacturing/Production</w:t>
            </w:r>
          </w:p>
        </w:tc>
        <w:tc>
          <w:tcPr/>
          <w:p>
            <w:pPr>
              <w:pStyle w:val="Compact"/>
              <w:jc w:val="left"/>
            </w:pPr>
            <w:r>
              <w:t xml:space="preserve">0.00</w:t>
            </w:r>
          </w:p>
        </w:tc>
        <w:tc>
          <w:tcPr/>
          <w:p>
            <w:pPr>
              <w:pStyle w:val="Compact"/>
              <w:jc w:val="left"/>
            </w:pPr>
            <w:r>
              <w:t xml:space="preserve">2.15</w:t>
            </w:r>
          </w:p>
        </w:tc>
        <w:tc>
          <w:tcPr/>
          <w:p>
            <w:pPr>
              <w:pStyle w:val="Compact"/>
              <w:jc w:val="left"/>
            </w:pPr>
            <w:r>
              <w:t xml:space="preserve">0.00</w:t>
            </w:r>
          </w:p>
        </w:tc>
        <w:tc>
          <w:tcPr/>
          <w:p>
            <w:pPr>
              <w:pStyle w:val="Compact"/>
              <w:jc w:val="left"/>
            </w:pPr>
            <w:r>
              <w:t xml:space="preserve">2.15</w:t>
            </w:r>
          </w:p>
        </w:tc>
      </w:tr>
      <w:tr>
        <w:tc>
          <w:tcPr/>
          <w:p>
            <w:pPr>
              <w:pStyle w:val="Compact"/>
              <w:jc w:val="left"/>
            </w:pPr>
            <w:r>
              <w:t xml:space="preserve">Downstream Transportation &amp; Distribution</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0.88</w:t>
            </w:r>
          </w:p>
        </w:tc>
        <w:tc>
          <w:tcPr/>
          <w:p>
            <w:pPr>
              <w:pStyle w:val="Compact"/>
              <w:jc w:val="left"/>
            </w:pPr>
            <w:r>
              <w:t xml:space="preserve">0.88</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9.05</w:t>
            </w:r>
          </w:p>
        </w:tc>
        <w:tc>
          <w:tcPr/>
          <w:p>
            <w:pPr>
              <w:pStyle w:val="Compact"/>
              <w:jc w:val="left"/>
            </w:pPr>
            <w:r>
              <w:t xml:space="preserve">9.05</w:t>
            </w:r>
          </w:p>
        </w:tc>
      </w:tr>
      <w:tr>
        <w:tc>
          <w:tcPr/>
          <w:p>
            <w:pPr>
              <w:pStyle w:val="Compact"/>
              <w:jc w:val="left"/>
            </w:pPr>
            <w:r>
              <w:t xml:space="preserve">End-of-Life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-2.11</w:t>
            </w:r>
          </w:p>
        </w:tc>
        <w:tc>
          <w:tcPr/>
          <w:p>
            <w:pPr>
              <w:pStyle w:val="Compact"/>
              <w:jc w:val="left"/>
            </w:pPr>
            <w:r>
              <w:t xml:space="preserve">-2.11</w:t>
            </w:r>
          </w:p>
        </w:tc>
      </w:tr>
      <w:tr>
        <w:tc>
          <w:tcPr/>
          <w:p>
            <w:pPr>
              <w:pStyle w:val="Compact"/>
              <w:jc w:val="left"/>
            </w:pPr>
            <w:r>
              <w:t xml:space="preserve">Grand Total PCF</w:t>
            </w:r>
          </w:p>
        </w:tc>
        <w:tc>
          <w:tcPr/>
          <w:p>
            <w:pPr>
              <w:pStyle w:val="Compact"/>
              <w:jc w:val="left"/>
            </w:pPr>
            <w:r>
              <w:t xml:space="preserve">0.00</w:t>
            </w:r>
          </w:p>
        </w:tc>
        <w:tc>
          <w:tcPr/>
          <w:p>
            <w:pPr>
              <w:pStyle w:val="Compact"/>
              <w:jc w:val="left"/>
            </w:pPr>
            <w:r>
              <w:t xml:space="preserve">2.15</w:t>
            </w:r>
          </w:p>
        </w:tc>
        <w:tc>
          <w:tcPr/>
          <w:p>
            <w:pPr>
              <w:pStyle w:val="Compact"/>
              <w:jc w:val="left"/>
            </w:pPr>
            <w:r>
              <w:t xml:space="preserve">18.96</w:t>
            </w:r>
          </w:p>
        </w:tc>
        <w:tc>
          <w:tcPr/>
          <w:p>
            <w:pPr>
              <w:pStyle w:val="Compact"/>
              <w:jc w:val="left"/>
            </w:pPr>
            <w:r>
              <w:t xml:space="preserve">21.11</w:t>
            </w:r>
          </w:p>
        </w:tc>
      </w:tr>
    </w:tbl>
    <w:p>
      <w:pPr>
        <w:numPr>
          <w:ilvl w:val="0"/>
          <w:numId w:val="1000"/>
        </w:numPr>
      </w:pPr>
      <w:r>
        <w:rPr>
          <w:bCs/>
          <w:b/>
        </w:rPr>
        <w:t xml:space="preserve">Total Product Carbon Footprint (PCF) for gqfutsmzhv: 21.11 kg CO2e per unit.</w:t>
      </w:r>
    </w:p>
    <w:p>
      <w:pPr>
        <w:numPr>
          <w:ilvl w:val="0"/>
          <w:numId w:val="1000"/>
        </w:numPr>
        <w:pStyle w:val="Heading5"/>
      </w:pPr>
      <w:bookmarkStart w:id="42" w:name="scope-3-compliance"/>
      <w:r>
        <w:t xml:space="preserve">Scope 3 Compliance</w:t>
      </w:r>
      <w:bookmarkEnd w:id="42"/>
    </w:p>
    <w:p>
      <w:pPr>
        <w:numPr>
          <w:ilvl w:val="0"/>
          <w:numId w:val="1000"/>
        </w:numPr>
      </w:pPr>
      <w:r>
        <w:t xml:space="preserve">The total Scope 3 emissions (18.96 kg CO2e) represent approximately 89.8% of the total PCF (21.11 kg CO2e). While this is a significant portion, it falls slightly short of the 2026 requirement for at least 95% coverage for Scope 3 reporting. This indicates that either some minor Scope 3 categories are not fully captured (e.g., business travel for product development, waste from manufacturing operations, capital goods emissions not embedded in material EFs) or the primary data assumptions need further refinement to ensure comprehensive inclusion of all indirect value chain emissions.</w:t>
      </w:r>
    </w:p>
    <w:p>
      <w:pPr>
        <w:numPr>
          <w:ilvl w:val="0"/>
          <w:numId w:val="1000"/>
        </w:numPr>
      </w:pPr>
      <w:r>
        <w:t xml:space="preserve">The GHG Protocol\'s classification is as follows: Scope 1 covers direct emissions from owned or controlled sources. Scope 2 covers indirect emissions from purchased electricity, steam, heat, and cooling. Scope 3 covers all other indirect emissions in the value chain, both upstream and downstream.</w:t>
      </w:r>
    </w:p>
    <w:p>
      <w:pPr>
        <w:numPr>
          <w:ilvl w:val="0"/>
          <w:numId w:val="1001"/>
        </w:numPr>
        <w:pStyle w:val="Heading3"/>
      </w:pPr>
      <w:bookmarkStart w:id="43" w:name="review-report"/>
      <w:r>
        <w:t xml:space="preserve">Review &amp; Report</w:t>
      </w:r>
      <w:bookmarkEnd w:id="43"/>
    </w:p>
    <w:p>
      <w:pPr>
        <w:numPr>
          <w:ilvl w:val="0"/>
          <w:numId w:val="1000"/>
        </w:numPr>
        <w:pStyle w:val="Heading4"/>
      </w:pPr>
      <w:bookmarkStart w:id="44" w:name="hotspots-identification"/>
      <w:r>
        <w:t xml:space="preserve">Hotspots Identification</w:t>
      </w:r>
      <w:bookmarkEnd w:id="44"/>
    </w:p>
    <w:p>
      <w:pPr>
        <w:numPr>
          <w:ilvl w:val="0"/>
          <w:numId w:val="1000"/>
        </w:numPr>
      </w:pPr>
      <w:r>
        <w:t xml:space="preserve">Based on the calculations, the primary hotspots for the gqfutsmzhv product\'s carbon footprint are:</w:t>
      </w:r>
    </w:p>
    <w:p>
      <w:pPr>
        <w:numPr>
          <w:ilvl w:val="1"/>
          <w:numId w:val="1016"/>
        </w:numPr>
        <w:pStyle w:val="Compact"/>
      </w:pPr>
      <w:r>
        <w:rPr>
          <w:bCs/>
          <w:b/>
        </w:rPr>
        <w:t xml:space="preserve">Material Acquisition &amp; Pre-processing (Scope 3):</w:t>
      </w:r>
      <w:r>
        <w:t xml:space="preserve"> </w:t>
      </w:r>
      <w:r>
        <w:t xml:space="preserve">10.85 kg CO2e, representing ~51% of the total PCF. This is largely driven by high-impact components like Integrated Circuits and Lithium-ion Batteries.</w:t>
      </w:r>
    </w:p>
    <w:p>
      <w:pPr>
        <w:numPr>
          <w:ilvl w:val="1"/>
          <w:numId w:val="1016"/>
        </w:numPr>
        <w:pStyle w:val="Compact"/>
      </w:pPr>
      <w:r>
        <w:rPr>
          <w:bCs/>
          <w:b/>
        </w:rPr>
        <w:t xml:space="preserve">Use Phase (Scope 3):</w:t>
      </w:r>
      <w:r>
        <w:t xml:space="preserve"> </w:t>
      </w:r>
      <w:r>
        <w:t xml:space="preserve">9.05 kg CO2e, representing ~43% of the total PCF. This is due to the product\'s lifespan and energy consumption, even with a relatively cleaner European electricity grid mix.</w:t>
      </w:r>
    </w:p>
    <w:p>
      <w:pPr>
        <w:numPr>
          <w:ilvl w:val="1"/>
          <w:numId w:val="1016"/>
        </w:numPr>
        <w:pStyle w:val="Compact"/>
      </w:pPr>
      <w:r>
        <w:rPr>
          <w:bCs/>
          <w:b/>
        </w:rPr>
        <w:t xml:space="preserve">Manufacturing (Scope 2):</w:t>
      </w:r>
      <w:r>
        <w:t xml:space="preserve"> </w:t>
      </w:r>
      <w:r>
        <w:t xml:space="preserve">2.15 kg CO2e, representing ~10% of the total PCF. This indicates the impact of electricity consumption in the Chinese manufacturing process, despite 30% renewable energy usage.</w:t>
      </w:r>
    </w:p>
    <w:p>
      <w:pPr>
        <w:numPr>
          <w:ilvl w:val="0"/>
          <w:numId w:val="1000"/>
        </w:numPr>
        <w:pStyle w:val="Heading4"/>
      </w:pPr>
      <w:bookmarkStart w:id="45" w:name="reliability-statement"/>
      <w:r>
        <w:t xml:space="preserve">Reliability Statement</w:t>
      </w:r>
      <w:bookmarkEnd w:id="45"/>
    </w:p>
    <w:p>
      <w:pPr>
        <w:numPr>
          <w:ilvl w:val="0"/>
          <w:numId w:val="1000"/>
        </w:numPr>
      </w:pPr>
      <w:r>
        <w:t xml:space="preserve">The calculations in this report are based on the GHG Protocol standards and utilize a combination of provided primary data (parameters) and illustrative secondary data (emission factors from recognized databases like Ecoinvent/DEFRA for general industry averages). While efforts have been made to use relevant and current emission factors, the precision of the results is dependent on the accuracy and specificity of the underlying data. The use of estimated or average emission factors may introduce a degree of uncertainty. For enhanced accuracy, rrivyrdxiz is recommended to collect more specific primary data for all material inputs, supplier-specific energy mixes, and actual transport logs.</w:t>
      </w:r>
    </w:p>
    <w:p>
      <w:pPr>
        <w:numPr>
          <w:ilvl w:val="0"/>
          <w:numId w:val="1000"/>
        </w:numPr>
        <w:pStyle w:val="Heading4"/>
      </w:pPr>
      <w:bookmarkStart w:id="46" w:name="recommendations-for-improvement"/>
      <w:r>
        <w:t xml:space="preserve">Recommendations for Improvement</w:t>
      </w:r>
      <w:bookmarkEnd w:id="46"/>
    </w:p>
    <w:p>
      <w:pPr>
        <w:numPr>
          <w:ilvl w:val="1"/>
          <w:numId w:val="1017"/>
        </w:numPr>
        <w:pStyle w:val="Compact"/>
      </w:pPr>
      <w:r>
        <w:rPr>
          <w:bCs/>
          <w:b/>
        </w:rPr>
        <w:t xml:space="preserve">Material Optimization:</w:t>
      </w:r>
      <w:r>
        <w:t xml:space="preserve"> </w:t>
      </w:r>
      <w:r>
        <w:t xml:space="preserve">Focus on reducing the impact of high-carbon materials such as Integrated Circuits, Lithium-ion Batteries, and Aluminum. This could involve exploring alternative, lower-carbon materials, optimizing material use to reduce quantity, or engaging with suppliers to source materials produced with renewable energy or higher efficiency.</w:t>
      </w:r>
    </w:p>
    <w:p>
      <w:pPr>
        <w:numPr>
          <w:ilvl w:val="1"/>
          <w:numId w:val="1017"/>
        </w:numPr>
        <w:pStyle w:val="Compact"/>
      </w:pPr>
      <w:r>
        <w:rPr>
          <w:bCs/>
          <w:b/>
        </w:rPr>
        <w:t xml:space="preserve">Energy Efficiency in Use Phase:</w:t>
      </w:r>
      <w:r>
        <w:t xml:space="preserve"> </w:t>
      </w:r>
      <w:r>
        <w:t xml:space="preserve">Investigate opportunities to reduce the product\'s energy consumption during its use phase. This could involve design changes for improved energy efficiency or exploring smart energy management features. Communicating energy-saving tips to users can also help.</w:t>
      </w:r>
    </w:p>
    <w:p>
      <w:pPr>
        <w:numPr>
          <w:ilvl w:val="1"/>
          <w:numId w:val="1017"/>
        </w:numPr>
        <w:pStyle w:val="Compact"/>
      </w:pPr>
      <w:r>
        <w:rPr>
          <w:bCs/>
          <w:b/>
        </w:rPr>
        <w:t xml:space="preserve">Renewable Energy Sourcing:</w:t>
      </w:r>
      <w:r>
        <w:t xml:space="preserve"> </w:t>
      </w:r>
      <w:r>
        <w:t xml:space="preserve">Increase the percentage of renewable energy used in manufacturing operations in China beyond 30%. This could involve purchasing more renewable energy credits or investing in on-site renewable energy generation.</w:t>
      </w:r>
    </w:p>
    <w:p>
      <w:pPr>
        <w:numPr>
          <w:ilvl w:val="1"/>
          <w:numId w:val="1017"/>
        </w:numPr>
        <w:pStyle w:val="Compact"/>
      </w:pPr>
      <w:r>
        <w:rPr>
          <w:bCs/>
          <w:b/>
        </w:rPr>
        <w:t xml:space="preserve">Enhance Circularity:</w:t>
      </w:r>
      <w:r>
        <w:t xml:space="preserve"> </w:t>
      </w:r>
      <w:r>
        <w:t xml:space="preserve">Strengthen the existing circular/take-back programs to maximize the return and recycling rates of products, and explore opportunities to reuse components or materials, thereby increasing the EoL credits and reducing virgin material demand. Ensuring efficient collection and processing within the circular program is key.</w:t>
      </w:r>
    </w:p>
    <w:p>
      <w:pPr>
        <w:numPr>
          <w:ilvl w:val="1"/>
          <w:numId w:val="1017"/>
        </w:numPr>
        <w:pStyle w:val="Compact"/>
      </w:pPr>
      <w:r>
        <w:rPr>
          <w:bCs/>
          <w:b/>
        </w:rPr>
        <w:t xml:space="preserve">Supply Chain Engagement:</w:t>
      </w:r>
      <w:r>
        <w:t xml:space="preserve"> </w:t>
      </w:r>
      <w:r>
        <w:t xml:space="preserve">Work closely with upstream and downstream logistics providers to optimize transport routes, switch to lower-emission transport modes where feasible, and encourage the use of more fuel-efficient vehicles or alternative fuels.</w:t>
      </w:r>
    </w:p>
    <w:p>
      <w:pPr>
        <w:numPr>
          <w:ilvl w:val="1"/>
          <w:numId w:val="1017"/>
        </w:numPr>
        <w:pStyle w:val="Compact"/>
      </w:pPr>
      <w:r>
        <w:rPr>
          <w:bCs/>
          <w:b/>
        </w:rPr>
        <w:t xml:space="preserve">Data Accuracy:</w:t>
      </w:r>
      <w:r>
        <w:t xml:space="preserve"> </w:t>
      </w:r>
      <w:r>
        <w:t xml:space="preserve">Continuously improve the collection of primary data across the entire value chain to reduce reliance on generic emission factors and increase the accuracy and robustness of the PCF.</w:t>
      </w:r>
    </w:p>
    <w:bookmarkEnd w:id="47"/>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gqfutsmzhv</dc:title>
  <dc:creator/>
  <dc:description>Detailed Product Carbon Footprint (PCF) analysis report for gqfutsmzhv by rrivyrdxiz, adhering to GHG Protocol standards and 2026 LSR updates.</dc:description>
  <dc:language>en</dc:language>
  <cp:keywords/>
  <dcterms:created xsi:type="dcterms:W3CDTF">2026-07-15T13:38:17Z</dcterms:created>
  <dcterms:modified xsi:type="dcterms:W3CDTF">2026-07-15T13:38:17Z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