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gqeipqtmmj</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qeipqtmmj"/>
    <w:p>
      <w:pPr>
        <w:pStyle w:val="Heading2"/>
      </w:pPr>
      <w:r>
        <w:t xml:space="preserve">Product: gqeipqtmmj</w:t>
      </w:r>
    </w:p>
    <w:p>
      <w:pPr>
        <w:pStyle w:val="FirstParagraph"/>
      </w:pPr>
      <w:r>
        <w:t xml:space="preserve">**Company Name:** wqrjyfeged</w:t>
      </w:r>
    </w:p>
    <w:p>
      <w:pPr>
        <w:pStyle w:val="BodyText"/>
      </w:pPr>
      <w:r>
        <w:t xml:space="preserve">**Senior Sustainability Consultant:** fheggxnvzq</w:t>
      </w:r>
    </w:p>
    <w:p>
      <w:pPr>
        <w:pStyle w:val="BodyText"/>
      </w:pPr>
      <w:r>
        <w:t xml:space="preserve">**Accounting Standard:** GHG Protocol</w:t>
      </w:r>
    </w:p>
    <w:p>
      <w:pPr>
        <w:pStyle w:val="BodyText"/>
      </w:pPr>
      <w:r>
        <w:t xml:space="preserve">*Disclaimer: This report is generated based on available data and industry standards, incorporating specific parameters provided. All calculations involve estimates and assumptions, and actual emissions may vary. Emission factors are sourced from publicly available databases (e.g., Ecoinvent/DEFRA equivalents) where direct primary data was unavailable.*</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gqeipqtmmj</w:t>
      </w:r>
      <w:r>
        <w:t xml:space="preserve">, manufactured by</w:t>
      </w:r>
      <w:r>
        <w:t xml:space="preserve"> </w:t>
      </w:r>
      <w:r>
        <w:rPr>
          <w:bCs/>
          <w:b/>
        </w:rPr>
        <w:t xml:space="preserve">wqrjyfeged</w:t>
      </w:r>
      <w:r>
        <w:t xml:space="preserve">. The analysis was conducted by</w:t>
      </w:r>
      <w:r>
        <w:t xml:space="preserve"> </w:t>
      </w:r>
      <w:r>
        <w:rPr>
          <w:bCs/>
          <w:b/>
        </w:rPr>
        <w:t xml:space="preserve">fheggxnvzq</w:t>
      </w:r>
      <w:r>
        <w:t xml:space="preserve">, Senior Sustainability Consultant, in accordance with the Greenhouse Gas (GHG) Protocol. The primary objective is to quantify the total greenhouse gas emissions (expressed in kgCO2e) across the product\'s lifecycle from a "cradle-to-gate" perspective, with additional considerations for the use and end-of-life phases, aligning with 2026 reporting requirements, including the Land Sector and Removals (LSR) Standard update and a robust 95% Scope 3 coverage. The insights gained will help identify emission hotspots and inform strategic decarbonization efforts for wqrjyfeged.</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gqeipqtmmj</w:t>
      </w:r>
      <w:r>
        <w:t xml:space="preserve">. This unit serves as the reference basis for all quantified environmental impacts.</w:t>
      </w:r>
    </w:p>
    <w:bookmarkEnd w:id="24"/>
    <w:bookmarkStart w:id="25"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includes all processes from raw material acquisition and pre-processing (upstream) through the manufacturing of the product at the factory gate. While the core boundary is cradle-to-gate, emissions from the Use Phase and End-of-Life (EoL) are calculated separately to provide a more holistic view of the product\'s impact, aligning with comprehensive lifecycle assessment principles.</w:t>
      </w:r>
    </w:p>
    <w:bookmarkEnd w:id="25"/>
    <w:bookmarkStart w:id="26"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(implying that materials and components might be sourced globally but the product is destined for the European market, and use phase and EoL considerations will reflect European contexts).</w:t>
      </w:r>
    </w:p>
    <w:bookmarkEnd w:id="26"/>
    <w:bookmarkStart w:id="27" w:name="allocation"/>
    <w:p>
      <w:pPr>
        <w:pStyle w:val="Heading3"/>
      </w:pPr>
      <w:r>
        <w:t xml:space="preserve">1.4 Allocation</w:t>
      </w:r>
    </w:p>
    <w:p>
      <w:pPr>
        <w:pStyle w:val="FirstParagraph"/>
      </w:pPr>
      <w:r>
        <w:t xml:space="preserve">Emissions are allocated directly to the functional unit. For multi-output processes, allocation is performed based on physical relationships (e.g., mass, energy content) where feasible. Co-product allocation is applied to recycled materials at End-of-Life, providing credits for avoided primary material production.</w:t>
      </w:r>
    </w:p>
    <w:p>
      <w:pPr>
        <w:pStyle w:val="BodyText"/>
      </w:pPr>
      <w:r>
        <w:t xml:space="preserve">All emissions are reported in carbon dioxide equivalents (CO2e), using Global Warming Potentials (GWP) from the IPCC Fifth Assessment Report (AR5) over a 100-year horizon for consistency with GHG Protocol recommendations.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The lifecycle of product gqeipqtmmj is mapped into several key stages: Material Acquisition &amp; Pre-processing, Manufacturing, Transportation &amp; Distribution, Use Phase, and End-of-Life. Data collection focused on primary data provided by wqrjyfeged (e.g., BOM, energy usage, circular programs) and augmented with high-quality secondary data (industry-average emission factors) from reputable databases such as Ecoinvent/DEFRA equivalents.</w:t>
      </w:r>
    </w:p>
    <w:bookmarkStart w:id="29" w:name="assumptions-for-placeholder-parameters"/>
    <w:p>
      <w:pPr>
        <w:pStyle w:val="Heading3"/>
      </w:pPr>
      <w:r>
        <w:t xml:space="preserve">2.1 Assumptions for Placeholder Parameters</w:t>
      </w:r>
    </w:p>
    <w:p>
      <w:pPr>
        <w:pStyle w:val="FirstParagraph"/>
      </w:pPr>
      <w:r>
        <w:t xml:space="preserve">As specific data for some parameters were provided as placeholders, the following reasonable assumptions have been made for the purpose of this detailed analysis:</w:t>
      </w:r>
    </w:p>
    <w:p>
      <w:pPr>
        <w:numPr>
          <w:ilvl w:val="0"/>
          <w:numId w:val="1002"/>
        </w:numPr>
        <w:pStyle w:val="Compact"/>
      </w:pPr>
      <w:r>
        <w:t xml:space="preserve">**Transport Mode:** Ocean Freight (container ship) from China to Europe, followed by Road (heavy-duty truck) for inland distribution.</w:t>
      </w:r>
    </w:p>
    <w:p>
      <w:pPr>
        <w:numPr>
          <w:ilvl w:val="0"/>
          <w:numId w:val="1002"/>
        </w:numPr>
        <w:pStyle w:val="Compact"/>
      </w:pPr>
      <w:r>
        <w:t xml:space="preserve">**Transport Distance:** 15,000 km for Ocean Freight, 500 km for Road Freight.</w:t>
      </w:r>
    </w:p>
    <w:p>
      <w:pPr>
        <w:numPr>
          <w:ilvl w:val="0"/>
          <w:numId w:val="1002"/>
        </w:numPr>
        <w:pStyle w:val="Compact"/>
      </w:pPr>
      <w:r>
        <w:t xml:space="preserve">**Last-Mile Delivery Channel:** Light Commercial Van for final delivery over 50 km.</w:t>
      </w:r>
    </w:p>
    <w:p>
      <w:pPr>
        <w:numPr>
          <w:ilvl w:val="0"/>
          <w:numId w:val="1002"/>
        </w:numPr>
        <w:pStyle w:val="Compact"/>
      </w:pPr>
      <w:r>
        <w:t xml:space="preserve">**Renewable Energy Usage (Manufacturing):** 50% renewable electricity.</w:t>
      </w:r>
    </w:p>
    <w:p>
      <w:pPr>
        <w:numPr>
          <w:ilvl w:val="0"/>
          <w:numId w:val="1002"/>
        </w:numPr>
        <w:pStyle w:val="Compact"/>
      </w:pPr>
      <w:r>
        <w:t xml:space="preserve">**Energy Intensity (Manufacturing):** 10 kWh/unit.</w:t>
      </w:r>
    </w:p>
    <w:p>
      <w:pPr>
        <w:numPr>
          <w:ilvl w:val="0"/>
          <w:numId w:val="1002"/>
        </w:numPr>
        <w:pStyle w:val="Compact"/>
      </w:pPr>
      <w:r>
        <w:t xml:space="preserve">**Product Lifespan:** 5 years.</w:t>
      </w:r>
    </w:p>
    <w:p>
      <w:pPr>
        <w:numPr>
          <w:ilvl w:val="0"/>
          <w:numId w:val="1002"/>
        </w:numPr>
        <w:pStyle w:val="Compact"/>
      </w:pPr>
      <w:r>
        <w:t xml:space="preserve">**Energy Consumption in Use:** 20 kWh/year (total 100 kWh over 5 years).</w:t>
      </w:r>
    </w:p>
    <w:p>
      <w:pPr>
        <w:numPr>
          <w:ilvl w:val="0"/>
          <w:numId w:val="1002"/>
        </w:numPr>
        <w:pStyle w:val="Compact"/>
      </w:pPr>
      <w:r>
        <w:t xml:space="preserve">**Recyclability Percentage:** 70%.</w:t>
      </w:r>
    </w:p>
    <w:p>
      <w:pPr>
        <w:numPr>
          <w:ilvl w:val="0"/>
          <w:numId w:val="1002"/>
        </w:numPr>
        <w:pStyle w:val="Compact"/>
      </w:pPr>
      <w:r>
        <w:t xml:space="preserve">**Circular/Take-back Programs:** wqrjyfeged operates a product take-back program in Europe, aiming to recover and process end-of-life units, contributing to resource circularity.</w:t>
      </w:r>
    </w:p>
    <w:bookmarkEnd w:id="29"/>
    <w:bookmarkStart w:id="30" w:name="X50126cc434a4abb16b475f583d29301d82f0cdf"/>
    <w:p>
      <w:pPr>
        <w:pStyle w:val="Heading3"/>
      </w:pPr>
      <w:r>
        <w:t xml:space="preserve">2.2 Detailed Bill of Materials (BOM) for mkkwmgge</w:t>
      </w:r>
    </w:p>
    <w:p>
      <w:pPr>
        <w:pStyle w:val="FirstParagraph"/>
      </w:pPr>
      <w:r>
        <w:t xml:space="preserve">The following Bill of Materials (BOM) data, provided as \'mkkwmgge\', is used for high-accuracy material impact calculation. The \'Total Carbon\' values are calculated based on the \'Qty\' and \'Emission Factor\' columns.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9.0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t xml:space="preserve">Total product weight for transport calculations: 0.5 + 0.3 + 0.05 + 0.05 = 0.9 kg.</w:t>
      </w:r>
    </w:p>
    <w:bookmarkEnd w:id="30"/>
    <w:bookmarkStart w:id="31" w:name="energy-inputs-manufacturing-phase"/>
    <w:p>
      <w:pPr>
        <w:pStyle w:val="Heading3"/>
      </w:pPr>
      <w:r>
        <w:t xml:space="preserve">2.3 Energy Inputs (Manufacturing Phase)</w:t>
      </w:r>
    </w:p>
    <w:p>
      <w:pPr>
        <w:pStyle w:val="FirstParagraph"/>
      </w:pPr>
      <w:r>
        <w:t xml:space="preserve">The production of gqeipqtmmj in China consumes</w:t>
      </w:r>
      <w:r>
        <w:t xml:space="preserve"> </w:t>
      </w:r>
      <w:r>
        <w:rPr>
          <w:bCs/>
          <w:b/>
        </w:rPr>
        <w:t xml:space="preserve">njiiiyxnqt (10 kWh/unit)</w:t>
      </w:r>
      <w:r>
        <w:t xml:space="preserve"> </w:t>
      </w:r>
      <w:r>
        <w:t xml:space="preserve">of electricity per functional unit. The energy mix in the manufacturing facility includes</w:t>
      </w:r>
      <w:r>
        <w:t xml:space="preserve"> </w:t>
      </w:r>
      <w:r>
        <w:rPr>
          <w:bCs/>
          <w:b/>
        </w:rPr>
        <w:t xml:space="preserve">jqnfkyrvgn (50%)</w:t>
      </w:r>
      <w:r>
        <w:t xml:space="preserve"> </w:t>
      </w:r>
      <w:r>
        <w:t xml:space="preserve">renewable energy.</w:t>
      </w:r>
    </w:p>
    <w:p>
      <w:pPr>
        <w:numPr>
          <w:ilvl w:val="0"/>
          <w:numId w:val="1003"/>
        </w:numPr>
        <w:pStyle w:val="Compact"/>
      </w:pPr>
      <w:r>
        <w:t xml:space="preserve">China Grid Emission Factor (average): 0.57 kgCO2e/kWh (based on 2019-2021 data).</w:t>
      </w:r>
    </w:p>
    <w:p>
      <w:pPr>
        <w:numPr>
          <w:ilvl w:val="0"/>
          <w:numId w:val="1003"/>
        </w:numPr>
        <w:pStyle w:val="Compact"/>
      </w:pPr>
      <w:r>
        <w:t xml:space="preserve">Effective Grid Emission Factor (50% renewable): 0.57 kgCO2e/kWh * (1 - 0.50) = 0.285 kgCO2e/kWh.</w:t>
      </w:r>
    </w:p>
    <w:bookmarkEnd w:id="31"/>
    <w:bookmarkStart w:id="32" w:name="Xe00beb66cc2e14450998c008cde0797621a0de0"/>
    <w:p>
      <w:pPr>
        <w:pStyle w:val="Heading3"/>
      </w:pPr>
      <w:r>
        <w:t xml:space="preserve">2.4 Logistics Data (Transportation &amp; Distribution)</w:t>
      </w:r>
    </w:p>
    <w:p>
      <w:pPr>
        <w:numPr>
          <w:ilvl w:val="0"/>
          <w:numId w:val="1004"/>
        </w:numPr>
        <w:pStyle w:val="Compact"/>
      </w:pPr>
      <w:r>
        <w:t xml:space="preserve">**Ocean Freight (China to Europe):**</w:t>
      </w:r>
    </w:p>
    <w:p>
      <w:pPr>
        <w:numPr>
          <w:ilvl w:val="1"/>
          <w:numId w:val="1005"/>
        </w:numPr>
        <w:pStyle w:val="Compact"/>
      </w:pPr>
      <w:r>
        <w:t xml:space="preserve">Mode: Container Ship</w:t>
      </w:r>
    </w:p>
    <w:p>
      <w:pPr>
        <w:numPr>
          <w:ilvl w:val="1"/>
          <w:numId w:val="1005"/>
        </w:numPr>
        <w:pStyle w:val="Compact"/>
      </w:pPr>
      <w:r>
        <w:t xml:space="preserve">Distance: 15,000 km</w:t>
      </w:r>
    </w:p>
    <w:p>
      <w:pPr>
        <w:numPr>
          <w:ilvl w:val="1"/>
          <w:numId w:val="1005"/>
        </w:numPr>
        <w:pStyle w:val="Compact"/>
      </w:pPr>
      <w:r>
        <w:t xml:space="preserve">Emission Factor: 0.016 kgCO2e/tonne-km.</w:t>
      </w:r>
    </w:p>
    <w:p>
      <w:pPr>
        <w:numPr>
          <w:ilvl w:val="1"/>
          <w:numId w:val="1005"/>
        </w:numPr>
        <w:pStyle w:val="Compact"/>
      </w:pPr>
      <w:r>
        <w:t xml:space="preserve">Product Weight: 0.9 kg = 0.0009 tonnes</w:t>
      </w:r>
    </w:p>
    <w:p>
      <w:pPr>
        <w:numPr>
          <w:ilvl w:val="0"/>
          <w:numId w:val="1004"/>
        </w:numPr>
        <w:pStyle w:val="Compact"/>
      </w:pPr>
      <w:r>
        <w:t xml:space="preserve">**Road Freight (European Inland):**</w:t>
      </w:r>
    </w:p>
    <w:p>
      <w:pPr>
        <w:numPr>
          <w:ilvl w:val="1"/>
          <w:numId w:val="1006"/>
        </w:numPr>
        <w:pStyle w:val="Compact"/>
      </w:pPr>
      <w:r>
        <w:t xml:space="preserve">Mode: Heavy-Duty Truck</w:t>
      </w:r>
    </w:p>
    <w:p>
      <w:pPr>
        <w:numPr>
          <w:ilvl w:val="1"/>
          <w:numId w:val="1006"/>
        </w:numPr>
        <w:pStyle w:val="Compact"/>
      </w:pPr>
      <w:r>
        <w:t xml:space="preserve">Distance: 500 km</w:t>
      </w:r>
    </w:p>
    <w:p>
      <w:pPr>
        <w:numPr>
          <w:ilvl w:val="1"/>
          <w:numId w:val="1006"/>
        </w:numPr>
        <w:pStyle w:val="Compact"/>
      </w:pPr>
      <w:r>
        <w:t xml:space="preserve">Emission Factor: 0.1 kgCO2e/tonne-km.</w:t>
      </w:r>
    </w:p>
    <w:p>
      <w:pPr>
        <w:numPr>
          <w:ilvl w:val="1"/>
          <w:numId w:val="1006"/>
        </w:numPr>
        <w:pStyle w:val="Compact"/>
      </w:pPr>
      <w:r>
        <w:t xml:space="preserve">Product Weight: 0.9 kg = 0.0009 tonnes</w:t>
      </w:r>
    </w:p>
    <w:p>
      <w:pPr>
        <w:numPr>
          <w:ilvl w:val="0"/>
          <w:numId w:val="1004"/>
        </w:numPr>
        <w:pStyle w:val="Compact"/>
      </w:pPr>
      <w:r>
        <w:t xml:space="preserve">**Last-Mile Delivery (European Urban):**</w:t>
      </w:r>
    </w:p>
    <w:p>
      <w:pPr>
        <w:numPr>
          <w:ilvl w:val="1"/>
          <w:numId w:val="1007"/>
        </w:numPr>
        <w:pStyle w:val="Compact"/>
      </w:pPr>
      <w:r>
        <w:t xml:space="preserve">Mode: Light Commercial Van</w:t>
      </w:r>
    </w:p>
    <w:p>
      <w:pPr>
        <w:numPr>
          <w:ilvl w:val="1"/>
          <w:numId w:val="1007"/>
        </w:numPr>
        <w:pStyle w:val="Compact"/>
      </w:pPr>
      <w:r>
        <w:t xml:space="preserve">Distance: 50 km</w:t>
      </w:r>
    </w:p>
    <w:p>
      <w:pPr>
        <w:numPr>
          <w:ilvl w:val="1"/>
          <w:numId w:val="1007"/>
        </w:numPr>
        <w:pStyle w:val="Compact"/>
      </w:pPr>
      <w:r>
        <w:t xml:space="preserve">Emission Factor: 0.3 kgCO2e/tonne-km (estimated, accounting for lower load factors).</w:t>
      </w:r>
    </w:p>
    <w:p>
      <w:pPr>
        <w:numPr>
          <w:ilvl w:val="1"/>
          <w:numId w:val="1007"/>
        </w:numPr>
        <w:pStyle w:val="Compact"/>
      </w:pPr>
      <w:r>
        <w:t xml:space="preserve">Product Weight: 0.9 kg = 0.0009 tonnes</w:t>
      </w:r>
    </w:p>
    <w:bookmarkEnd w:id="32"/>
    <w:bookmarkStart w:id="33" w:name="use-phase-data"/>
    <w:p>
      <w:pPr>
        <w:pStyle w:val="Heading3"/>
      </w:pPr>
      <w:r>
        <w:t xml:space="preserve">2.5 Use Phase Data</w:t>
      </w:r>
    </w:p>
    <w:p>
      <w:pPr>
        <w:numPr>
          <w:ilvl w:val="0"/>
          <w:numId w:val="1008"/>
        </w:numPr>
        <w:pStyle w:val="Compact"/>
      </w:pPr>
      <w:r>
        <w:t xml:space="preserve">**Product Lifespan:** ygqgrgqwtk (5 years).</w:t>
      </w:r>
    </w:p>
    <w:p>
      <w:pPr>
        <w:numPr>
          <w:ilvl w:val="0"/>
          <w:numId w:val="1008"/>
        </w:numPr>
        <w:pStyle w:val="Compact"/>
      </w:pPr>
      <w:r>
        <w:t xml:space="preserve">**Energy Consumption in Use:** kxrrvwrofl (20 kWh/year).</w:t>
      </w:r>
    </w:p>
    <w:p>
      <w:pPr>
        <w:numPr>
          <w:ilvl w:val="1"/>
          <w:numId w:val="1009"/>
        </w:numPr>
        <w:pStyle w:val="Compact"/>
      </w:pPr>
      <w:r>
        <w:t xml:space="preserve">Total Energy Consumption over Lifespan: 20 kWh/year * 5 years = 100 kWh.</w:t>
      </w:r>
    </w:p>
    <w:p>
      <w:pPr>
        <w:numPr>
          <w:ilvl w:val="0"/>
          <w:numId w:val="1008"/>
        </w:numPr>
        <w:pStyle w:val="Compact"/>
      </w:pPr>
      <w:r>
        <w:t xml:space="preserve">**European Grid Emission Factor (average for use location):** 0.25 kgCO2e/kWh (based on 2019-2020 data).</w:t>
      </w:r>
    </w:p>
    <w:bookmarkEnd w:id="33"/>
    <w:bookmarkStart w:id="34" w:name="end-of-life-eol-scenarios"/>
    <w:p>
      <w:pPr>
        <w:pStyle w:val="Heading3"/>
      </w:pPr>
      <w:r>
        <w:t xml:space="preserve">2.6 End-of-Life (EoL) Scenarios</w:t>
      </w:r>
    </w:p>
    <w:p>
      <w:pPr>
        <w:numPr>
          <w:ilvl w:val="0"/>
          <w:numId w:val="1010"/>
        </w:numPr>
        <w:pStyle w:val="Compact"/>
      </w:pPr>
      <w:r>
        <w:t xml:space="preserve">**Recyclability Percentage:** emqxqqwiwg (70%).</w:t>
      </w:r>
    </w:p>
    <w:p>
      <w:pPr>
        <w:numPr>
          <w:ilvl w:val="0"/>
          <w:numId w:val="1010"/>
        </w:numPr>
      </w:pPr>
      <w:r>
        <w:t xml:space="preserve">**Circular/Take-back Programs:** dsiyhdglwp (Company wqrjyfeged operates a product take-back program in Europe, encouraging responsible disposal and material recovery).</w:t>
      </w:r>
    </w:p>
    <w:p>
      <w:pPr>
        <w:numPr>
          <w:ilvl w:val="0"/>
          <w:numId w:val="1000"/>
        </w:numPr>
      </w:pPr>
      <w:r>
        <w:t xml:space="preserve">For the 70% recyclable portion, a credit for avoided primary production emissions will be applied, assuming a 50% emission reduction for recycled material compared to virgin material. The remaining 30% is assumed to go to incineration or landfill, with associated emissions.</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according to the GHG Protocol Scopes. Scope 3 emissions are extensively covered, aiming for at least 95% coverage as per 2026 requirements. The 2026 Land Sector and Removals (LSR) Standard is acknowledged, noting its application for land use and carbon removals; however, for this specific product (gqeipqtmmj) without direct land management activities, its impact is implicitly covered within upstream material acquisition where applicable (e.g., bio-based materials, if any, which are not explicitly in the provided BOM). The LSR Standard is primarily relevant for entities with significant land sector activities or those reporting CO2 removals.</w:t>
      </w:r>
    </w:p>
    <w:bookmarkStart w:id="36" w:name="X4f5c34ac1dd1feaf6b6505ab2a6da74105c74df"/>
    <w:p>
      <w:pPr>
        <w:pStyle w:val="Heading3"/>
      </w:pPr>
      <w:r>
        <w:t xml:space="preserve">4.1 Material Acquisition &amp; Pre-processing (Scope 3 - Upstream, Category 1: Purchased Goods and Services)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Emissions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Circuit Board</w:t>
            </w:r>
          </w:p>
        </w:tc>
        <w:tc>
          <w:tcPr/>
          <w:p>
            <w:pPr>
              <w:pStyle w:val="Compact"/>
              <w:jc w:val="left"/>
            </w:pPr>
            <w:r>
              <w:t xml:space="preserve">0.05</w:t>
            </w:r>
          </w:p>
        </w:tc>
        <w:tc>
          <w:tcPr/>
          <w:p>
            <w:pPr>
              <w:pStyle w:val="Compact"/>
              <w:jc w:val="left"/>
            </w:pPr>
            <w:r>
              <w:t xml:space="preserve">180.0</w:t>
            </w:r>
          </w:p>
        </w:tc>
        <w:tc>
          <w:tcPr/>
          <w:p>
            <w:pPr>
              <w:pStyle w:val="Compact"/>
              <w:jc w:val="left"/>
            </w:pPr>
            <w:r>
              <w:t xml:space="preserve">9.00</w:t>
            </w:r>
          </w:p>
        </w:tc>
      </w:tr>
      <w:tr>
        <w:tc>
          <w:tcPr/>
          <w:p>
            <w:pPr>
              <w:pStyle w:val="Compact"/>
              <w:jc w:val="left"/>
            </w:pPr>
            <w:r>
              <w:t xml:space="preserve">Copper Wiring</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gridSpan w:val="3"/>
          </w:tcPr>
          <w:p>
            <w:pPr>
              <w:pStyle w:val="Compact"/>
              <w:jc w:val="left"/>
            </w:pPr>
            <w:r>
              <w:rPr>
                <w:bCs/>
                <w:b/>
              </w:rPr>
              <w:t xml:space="preserve">Subtotal Material Emissions (Scope 3)</w:t>
            </w:r>
          </w:p>
        </w:tc>
        <w:tc>
          <w:tcPr/>
          <w:p>
            <w:pPr>
              <w:pStyle w:val="Compact"/>
              <w:jc w:val="left"/>
            </w:pPr>
            <w:r>
              <w:rPr>
                <w:bCs/>
                <w:b/>
              </w:rPr>
              <w:t xml:space="preserve">16.10</w:t>
            </w:r>
          </w:p>
        </w:tc>
      </w:tr>
    </w:tbl>
    <w:bookmarkEnd w:id="36"/>
    <w:bookmarkStart w:id="40" w:name="manufacturing-scope-2-scope-3"/>
    <w:p>
      <w:pPr>
        <w:pStyle w:val="Heading3"/>
      </w:pPr>
      <w:r>
        <w:t xml:space="preserve">4.2 Manufacturing (Scope 2 &amp; Scope 3)</w:t>
      </w:r>
    </w:p>
    <w:bookmarkStart w:id="37" w:name="purchased-electricity-scope-2"/>
    <w:p>
      <w:pPr>
        <w:pStyle w:val="Heading4"/>
      </w:pPr>
      <w:r>
        <w:t xml:space="preserve">4.2.1 Purchased Electricity (Scope 2)</w:t>
      </w:r>
    </w:p>
    <w:p>
      <w:pPr>
        <w:pStyle w:val="FirstParagraph"/>
      </w:pPr>
      <w:r>
        <w:t xml:space="preserve">Total Electricity Consumption: 10 kWh/unit.</w:t>
      </w:r>
      <w:r>
        <w:br/>
      </w:r>
      <w:r>
        <w:t xml:space="preserve">Effective Grid Emission Factor (China, 50% renewable): 0.285 kgCO2e/kWh.</w:t>
      </w:r>
    </w:p>
    <w:p>
      <w:pPr>
        <w:pStyle w:val="BodyText"/>
      </w:pPr>
      <w:r>
        <w:rPr>
          <w:bCs/>
          <w:b/>
        </w:rPr>
        <w:t xml:space="preserve">Manufacturing Electricity Emissions (Scope 2):</w:t>
      </w:r>
      <w:r>
        <w:t xml:space="preserve"> </w:t>
      </w:r>
      <w:r>
        <w:t xml:space="preserve">10 kWh/unit * 0.285 kgCO2e/kWh =</w:t>
      </w:r>
      <w:r>
        <w:t xml:space="preserve"> </w:t>
      </w:r>
      <w:r>
        <w:rPr>
          <w:bCs/>
          <w:b/>
        </w:rPr>
        <w:t xml:space="preserve">2.85 kgCO2e</w:t>
      </w:r>
    </w:p>
    <w:bookmarkEnd w:id="37"/>
    <w:bookmarkStart w:id="38" w:name="X71c681732ee85740938d5dccd4cb04ea3536839"/>
    <w:p>
      <w:pPr>
        <w:pStyle w:val="Heading4"/>
      </w:pPr>
      <w:r>
        <w:t xml:space="preserve">4.2.2 Upstream Emissions for Purchased Electricity (Scope 3, Category 3: Fuel- and energy-related activities)</w:t>
      </w:r>
    </w:p>
    <w:p>
      <w:pPr>
        <w:pStyle w:val="FirstParagraph"/>
      </w:pPr>
      <w:r>
        <w:t xml:space="preserve">This covers emissions related to the production of fuels and energy purchased (e.g., T&amp;D losses) not included in Scope 2. Assuming a 10% T&amp;D loss for China\'s grid (conservative estimate based on typical values for grid losses).</w:t>
      </w:r>
    </w:p>
    <w:p>
      <w:pPr>
        <w:pStyle w:val="BodyText"/>
      </w:pPr>
      <w:r>
        <w:t xml:space="preserve">Total Electricity Generated to Meet Demand: 10 kWh / (1 - 0.10) = 11.11 kWh.</w:t>
      </w:r>
      <w:r>
        <w:br/>
      </w:r>
      <w:r>
        <w:t xml:space="preserve">T&amp;D Losses: 1.11 kWh.</w:t>
      </w:r>
    </w:p>
    <w:p>
      <w:pPr>
        <w:pStyle w:val="BodyText"/>
      </w:pPr>
      <w:r>
        <w:rPr>
          <w:bCs/>
          <w:b/>
        </w:rPr>
        <w:t xml:space="preserve">T&amp;D Loss Emissions (Scope 3):</w:t>
      </w:r>
      <w:r>
        <w:t xml:space="preserve"> </w:t>
      </w:r>
      <w:r>
        <w:t xml:space="preserve">1.11 kWh * 0.57 kgCO2e/kWh (full grid factor, as losses are from the grid mix) =</w:t>
      </w:r>
      <w:r>
        <w:t xml:space="preserve"> </w:t>
      </w:r>
      <w:r>
        <w:rPr>
          <w:bCs/>
          <w:b/>
        </w:rPr>
        <w:t xml:space="preserve">0.63 kgCO2e</w:t>
      </w:r>
    </w:p>
    <w:bookmarkEnd w:id="38"/>
    <w:bookmarkStart w:id="39" w:name="direct-emissions-scope-1"/>
    <w:p>
      <w:pPr>
        <w:pStyle w:val="Heading4"/>
      </w:pPr>
      <w:r>
        <w:t xml:space="preserve">4.2.3 Direct Emissions (Scope 1)</w:t>
      </w:r>
    </w:p>
    <w:p>
      <w:pPr>
        <w:pStyle w:val="FirstParagraph"/>
      </w:pPr>
      <w:r>
        <w:t xml:space="preserve">For product-level PCF, direct Scope 1 emissions from company-owned or controlled sources during manufacturing (e.g., onsite fuel combustion) are assumed to be negligible unless specific data is provided. Given the "factory_gate" boundary and typical product manufacturing, these are often small compared to Scope 2 and 3.</w:t>
      </w:r>
    </w:p>
    <w:p>
      <w:pPr>
        <w:pStyle w:val="BodyText"/>
      </w:pPr>
      <w:r>
        <w:rPr>
          <w:bCs/>
          <w:b/>
        </w:rPr>
        <w:t xml:space="preserve">Direct Manufacturing Emissions (Scope 1):</w:t>
      </w:r>
      <w:r>
        <w:t xml:space="preserve"> </w:t>
      </w:r>
      <w:r>
        <w:t xml:space="preserve">0.00 kgCO2e (assumed negligible)</w:t>
      </w:r>
    </w:p>
    <w:bookmarkEnd w:id="39"/>
    <w:bookmarkEnd w:id="40"/>
    <w:bookmarkStart w:id="41" w:name="X450d90e002d60c5e1a1eb36cef65ecd5c7e025a"/>
    <w:p>
      <w:pPr>
        <w:pStyle w:val="Heading3"/>
      </w:pPr>
      <w:r>
        <w:t xml:space="preserve">4.3 Transportation &amp; Distribution (Scope 3 - Downstream, Category 4: Upstream Transportation and Distribution)</w:t>
      </w:r>
    </w:p>
    <w:p>
      <w:pPr>
        <w:pStyle w:val="FirstParagraph"/>
      </w:pPr>
      <w:r>
        <w:t xml:space="preserve">Total product weight: 0.9 kg (0.0009 tonnes)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(tonnes)</w:t>
            </w:r>
          </w:p>
        </w:tc>
        <w:tc>
          <w:tcPr/>
          <w:p>
            <w:pPr>
              <w:pStyle w:val="Compact"/>
              <w:jc w:val="left"/>
            </w:pPr>
            <w:r>
              <w:t xml:space="preserve">Emission Factor (kgCO2e/tonne-km)</w:t>
            </w:r>
          </w:p>
        </w:tc>
        <w:tc>
          <w:tcPr/>
          <w:p>
            <w:pPr>
              <w:pStyle w:val="Compact"/>
              <w:jc w:val="left"/>
            </w:pPr>
            <w:r>
              <w:t xml:space="preserve">Total Emissions (kgCO2e)</w:t>
            </w:r>
          </w:p>
        </w:tc>
      </w:tr>
      <w:tr>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0.0009</w:t>
            </w:r>
          </w:p>
        </w:tc>
        <w:tc>
          <w:tcPr/>
          <w:p>
            <w:pPr>
              <w:pStyle w:val="Compact"/>
              <w:jc w:val="left"/>
            </w:pPr>
            <w:r>
              <w:t xml:space="preserve">0.016</w:t>
            </w:r>
          </w:p>
        </w:tc>
        <w:tc>
          <w:tcPr/>
          <w:p>
            <w:pPr>
              <w:pStyle w:val="Compact"/>
              <w:jc w:val="left"/>
            </w:pPr>
            <w:r>
              <w:t xml:space="preserve">0.216</w:t>
            </w:r>
          </w:p>
        </w:tc>
      </w:tr>
      <w:tr>
        <w:tc>
          <w:tcPr/>
          <w:p>
            <w:pPr>
              <w:pStyle w:val="Compact"/>
              <w:jc w:val="left"/>
            </w:pPr>
            <w:r>
              <w:t xml:space="preserve">Road Freight</w:t>
            </w:r>
          </w:p>
        </w:tc>
        <w:tc>
          <w:tcPr/>
          <w:p>
            <w:pPr>
              <w:pStyle w:val="Compact"/>
              <w:jc w:val="left"/>
            </w:pPr>
            <w:r>
              <w:t xml:space="preserve">500</w:t>
            </w:r>
          </w:p>
        </w:tc>
        <w:tc>
          <w:tcPr/>
          <w:p>
            <w:pPr>
              <w:pStyle w:val="Compact"/>
              <w:jc w:val="left"/>
            </w:pPr>
            <w:r>
              <w:t xml:space="preserve">0.0009</w:t>
            </w:r>
          </w:p>
        </w:tc>
        <w:tc>
          <w:tcPr/>
          <w:p>
            <w:pPr>
              <w:pStyle w:val="Compact"/>
              <w:jc w:val="left"/>
            </w:pPr>
            <w:r>
              <w:t xml:space="preserve">0.1</w:t>
            </w:r>
          </w:p>
        </w:tc>
        <w:tc>
          <w:tcPr/>
          <w:p>
            <w:pPr>
              <w:pStyle w:val="Compact"/>
              <w:jc w:val="left"/>
            </w:pPr>
            <w:r>
              <w:t xml:space="preserve">0.045</w:t>
            </w:r>
          </w:p>
        </w:tc>
      </w:tr>
      <w:tr>
        <w:tc>
          <w:tcPr/>
          <w:p>
            <w:pPr>
              <w:pStyle w:val="Compact"/>
              <w:jc w:val="left"/>
            </w:pPr>
            <w:r>
              <w:t xml:space="preserve">Last-Mile Delivery</w:t>
            </w:r>
          </w:p>
        </w:tc>
        <w:tc>
          <w:tcPr/>
          <w:p>
            <w:pPr>
              <w:pStyle w:val="Compact"/>
              <w:jc w:val="left"/>
            </w:pPr>
            <w:r>
              <w:t xml:space="preserve">50</w:t>
            </w:r>
          </w:p>
        </w:tc>
        <w:tc>
          <w:tcPr/>
          <w:p>
            <w:pPr>
              <w:pStyle w:val="Compact"/>
              <w:jc w:val="left"/>
            </w:pPr>
            <w:r>
              <w:t xml:space="preserve">0.0009</w:t>
            </w:r>
          </w:p>
        </w:tc>
        <w:tc>
          <w:tcPr/>
          <w:p>
            <w:pPr>
              <w:pStyle w:val="Compact"/>
              <w:jc w:val="left"/>
            </w:pPr>
            <w:r>
              <w:t xml:space="preserve">0.3</w:t>
            </w:r>
          </w:p>
        </w:tc>
        <w:tc>
          <w:tcPr/>
          <w:p>
            <w:pPr>
              <w:pStyle w:val="Compact"/>
              <w:jc w:val="left"/>
            </w:pPr>
            <w:r>
              <w:t xml:space="preserve">0.014</w:t>
            </w:r>
          </w:p>
        </w:tc>
      </w:tr>
      <w:tr>
        <w:tc>
          <w:tcPr>
            <w:gridSpan w:val="4"/>
          </w:tcPr>
          <w:p>
            <w:pPr>
              <w:pStyle w:val="Compact"/>
              <w:jc w:val="left"/>
            </w:pPr>
            <w:r>
              <w:rPr>
                <w:bCs/>
                <w:b/>
              </w:rPr>
              <w:t xml:space="preserve">Subtotal Transportation Emissions (Scope 3)</w:t>
            </w:r>
          </w:p>
        </w:tc>
        <w:tc>
          <w:tcPr/>
          <w:p>
            <w:pPr>
              <w:pStyle w:val="Compact"/>
              <w:jc w:val="left"/>
            </w:pPr>
            <w:r>
              <w:rPr>
                <w:bCs/>
                <w:b/>
              </w:rPr>
              <w:t xml:space="preserve">0.275</w:t>
            </w:r>
          </w:p>
        </w:tc>
      </w:tr>
    </w:tbl>
    <w:bookmarkEnd w:id="41"/>
    <w:bookmarkStart w:id="42" w:name="X9710a1f2b0e729ce5517b1e51ea26033b8823d9"/>
    <w:p>
      <w:pPr>
        <w:pStyle w:val="Heading3"/>
      </w:pPr>
      <w:r>
        <w:t xml:space="preserve">4.4 Use Phase (Scope 3 - Downstream, Category 11: Use of Sold Products)</w:t>
      </w:r>
    </w:p>
    <w:p>
      <w:pPr>
        <w:pStyle w:val="FirstParagraph"/>
      </w:pPr>
      <w:r>
        <w:t xml:space="preserve">Total Energy Consumption over Lifespan: 100 kWh.</w:t>
      </w:r>
      <w:r>
        <w:br/>
      </w:r>
      <w:r>
        <w:t xml:space="preserve">European Grid Emission Factor: 0.25 kgCO2e/kWh.</w:t>
      </w:r>
    </w:p>
    <w:p>
      <w:pPr>
        <w:pStyle w:val="BodyText"/>
      </w:pPr>
      <w:r>
        <w:rPr>
          <w:bCs/>
          <w:b/>
        </w:rPr>
        <w:t xml:space="preserve">Use Phase Emissions (Scope 3):</w:t>
      </w:r>
      <w:r>
        <w:t xml:space="preserve"> </w:t>
      </w:r>
      <w:r>
        <w:t xml:space="preserve">100 kWh * 0.25 kgCO2e/kWh =</w:t>
      </w:r>
      <w:r>
        <w:t xml:space="preserve"> </w:t>
      </w:r>
      <w:r>
        <w:rPr>
          <w:bCs/>
          <w:b/>
        </w:rPr>
        <w:t xml:space="preserve">25.00 kgCO2e</w:t>
      </w:r>
    </w:p>
    <w:bookmarkEnd w:id="42"/>
    <w:bookmarkStart w:id="43" w:name="Xffe1abf316537a5785744a45507f685a7eb8026"/>
    <w:p>
      <w:pPr>
        <w:pStyle w:val="Heading3"/>
      </w:pPr>
      <w:r>
        <w:t xml:space="preserve">4.5 End-of-Life (EoL) (Scope 3 - Downstream, Category 12: End-of-Life Treatment of Sold Products)</w:t>
      </w:r>
    </w:p>
    <w:p>
      <w:pPr>
        <w:pStyle w:val="FirstParagraph"/>
      </w:pPr>
      <w:r>
        <w:t xml:space="preserve">Recyclability Percentage: 70%. The remaining 30% is assumed to be disposed of (landfill/incineration).</w:t>
      </w:r>
      <w:r>
        <w:t xml:space="preserve"> </w:t>
      </w:r>
      <w:r>
        <w:t xml:space="preserve">A simplified approach is taken for EoL:</w:t>
      </w:r>
    </w:p>
    <w:p>
      <w:pPr>
        <w:numPr>
          <w:ilvl w:val="0"/>
          <w:numId w:val="1011"/>
        </w:numPr>
        <w:pStyle w:val="Compact"/>
      </w:pPr>
      <w:r>
        <w:t xml:space="preserve">**Recycling Credit (70%):** A credit is applied for the avoided primary production of materials. Assuming an average of 50% emissions reduction for recycled material compared to virgin material.</w:t>
      </w:r>
    </w:p>
    <w:p>
      <w:pPr>
        <w:numPr>
          <w:ilvl w:val="1"/>
          <w:numId w:val="1012"/>
        </w:numPr>
        <w:pStyle w:val="Compact"/>
      </w:pPr>
      <w:r>
        <w:t xml:space="preserve">Total Material Emissions (from BOM): 16.10 kgCO2e</w:t>
      </w:r>
    </w:p>
    <w:p>
      <w:pPr>
        <w:numPr>
          <w:ilvl w:val="1"/>
          <w:numId w:val="1012"/>
        </w:numPr>
        <w:pStyle w:val="Compact"/>
      </w:pPr>
      <w:r>
        <w:t xml:space="preserve">Recycled Portion: 70% of 16.10 kgCO2e = 11.27 kgCO2e</w:t>
      </w:r>
    </w:p>
    <w:p>
      <w:pPr>
        <w:numPr>
          <w:ilvl w:val="1"/>
          <w:numId w:val="1012"/>
        </w:numPr>
        <w:pStyle w:val="Compact"/>
      </w:pPr>
      <w:r>
        <w:t xml:space="preserve">Avoided Emissions (Credit): 11.27 kgCO2e * 0.50 = -5.64 kgCO2e (negative value represents a reduction)</w:t>
      </w:r>
    </w:p>
    <w:p>
      <w:pPr>
        <w:numPr>
          <w:ilvl w:val="0"/>
          <w:numId w:val="1011"/>
        </w:numPr>
        <w:pStyle w:val="Compact"/>
      </w:pPr>
      <w:r>
        <w:t xml:space="preserve">**Disposal Emissions (30%):** For the non-recycled portion, assuming a generic disposal emission factor. (As no specific EoL disposal factors were provided or found for these materials in the search results, a placeholder of 0.5 kgCO2e/kg for disposal for the remaining 30% of product weight is used as an illustration).</w:t>
      </w:r>
    </w:p>
    <w:p>
      <w:pPr>
        <w:numPr>
          <w:ilvl w:val="1"/>
          <w:numId w:val="1013"/>
        </w:numPr>
        <w:pStyle w:val="Compact"/>
      </w:pPr>
      <w:r>
        <w:t xml:space="preserve">Disposed Portion Weight: 0.9 kg * 0.30 = 0.27 kg</w:t>
      </w:r>
    </w:p>
    <w:p>
      <w:pPr>
        <w:numPr>
          <w:ilvl w:val="1"/>
          <w:numId w:val="1013"/>
        </w:numPr>
        <w:pStyle w:val="Compact"/>
      </w:pPr>
      <w:r>
        <w:t xml:space="preserve">Disposal Emissions: 0.27 kg * 0.5 kgCO2e/kg = 0.14 kgCO2e</w:t>
      </w:r>
    </w:p>
    <w:p>
      <w:pPr>
        <w:pStyle w:val="FirstParagraph"/>
      </w:pPr>
      <w:r>
        <w:rPr>
          <w:bCs/>
          <w:b/>
        </w:rPr>
        <w:t xml:space="preserve">End-of-Life Net Emissions (Scope 3):</w:t>
      </w:r>
      <w:r>
        <w:t xml:space="preserve"> </w:t>
      </w:r>
      <w:r>
        <w:t xml:space="preserve">-5.64 kgCO2e (Credit) + 0.14 kgCO2e (Disposal) =</w:t>
      </w:r>
      <w:r>
        <w:t xml:space="preserve"> </w:t>
      </w:r>
      <w:r>
        <w:rPr>
          <w:bCs/>
          <w:b/>
        </w:rPr>
        <w:t xml:space="preserve">-5.50 kgCO2e</w:t>
      </w:r>
    </w:p>
    <w:bookmarkEnd w:id="43"/>
    <w:bookmarkStart w:id="44"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2.85</w:t>
            </w:r>
          </w:p>
        </w:tc>
      </w:tr>
      <w:tr>
        <w:tc>
          <w:tcPr/>
          <w:p>
            <w:pPr>
              <w:pStyle w:val="Compact"/>
              <w:jc w:val="left"/>
            </w:pPr>
            <w:r>
              <w:t xml:space="preserve">Manufacturing (T&amp;D Losses)</w:t>
            </w:r>
          </w:p>
        </w:tc>
        <w:tc>
          <w:tcPr/>
          <w:p>
            <w:pPr>
              <w:pStyle w:val="Compact"/>
              <w:jc w:val="left"/>
            </w:pPr>
            <w:r>
              <w:t xml:space="preserve">Scope 3 (Upstream)</w:t>
            </w:r>
          </w:p>
        </w:tc>
        <w:tc>
          <w:tcPr/>
          <w:p>
            <w:pPr>
              <w:pStyle w:val="Compact"/>
              <w:jc w:val="left"/>
            </w:pPr>
            <w:r>
              <w:t xml:space="preserve">0.63</w:t>
            </w:r>
          </w:p>
        </w:tc>
      </w:tr>
      <w:tr>
        <w:tc>
          <w:tcPr/>
          <w:p>
            <w:pPr>
              <w:pStyle w:val="Compact"/>
              <w:jc w:val="left"/>
            </w:pPr>
            <w:r>
              <w:t xml:space="preserve">Transportation &amp; Distribution</w:t>
            </w:r>
          </w:p>
        </w:tc>
        <w:tc>
          <w:tcPr/>
          <w:p>
            <w:pPr>
              <w:pStyle w:val="Compact"/>
              <w:jc w:val="left"/>
            </w:pPr>
            <w:r>
              <w:t xml:space="preserve">Scope 3 (Upstream)</w:t>
            </w:r>
          </w:p>
        </w:tc>
        <w:tc>
          <w:tcPr/>
          <w:p>
            <w:pPr>
              <w:pStyle w:val="Compact"/>
              <w:jc w:val="left"/>
            </w:pPr>
            <w:r>
              <w:t xml:space="preserve">0.275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-5.50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39.355</w:t>
            </w:r>
          </w:p>
        </w:tc>
      </w:tr>
    </w:tbl>
    <w:bookmarkEnd w:id="44"/>
    <w:bookmarkStart w:id="45" w:name="scope-wise-breakdown"/>
    <w:p>
      <w:pPr>
        <w:pStyle w:val="Heading3"/>
      </w:pPr>
      <w:r>
        <w:t xml:space="preserve">4.7 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2.85</w:t>
            </w:r>
          </w:p>
        </w:tc>
        <w:tc>
          <w:tcPr/>
          <w:p>
            <w:pPr>
              <w:pStyle w:val="Compact"/>
              <w:jc w:val="left"/>
            </w:pPr>
            <w:r>
              <w:t xml:space="preserve">7.24%</w:t>
            </w:r>
          </w:p>
        </w:tc>
      </w:tr>
      <w:tr>
        <w:tc>
          <w:tcPr/>
          <w:p>
            <w:pPr>
              <w:pStyle w:val="Compact"/>
              <w:jc w:val="left"/>
            </w:pPr>
            <w:r>
              <w:t xml:space="preserve">Scope 3 (Value Chain - Upstream)</w:t>
            </w:r>
          </w:p>
        </w:tc>
        <w:tc>
          <w:tcPr/>
          <w:p>
            <w:pPr>
              <w:pStyle w:val="Compact"/>
              <w:jc w:val="left"/>
            </w:pPr>
            <w:r>
              <w:t xml:space="preserve">16.10 (Materials) + 0.63 (T&amp;D) + 0.275 (Transport) = 17.995</w:t>
            </w:r>
          </w:p>
        </w:tc>
        <w:tc>
          <w:tcPr/>
          <w:p>
            <w:pPr>
              <w:pStyle w:val="Compact"/>
              <w:jc w:val="left"/>
            </w:pPr>
            <w:r>
              <w:t xml:space="preserve">45.72%</w:t>
            </w:r>
          </w:p>
        </w:tc>
      </w:tr>
      <w:tr>
        <w:tc>
          <w:tcPr/>
          <w:p>
            <w:pPr>
              <w:pStyle w:val="Compact"/>
              <w:jc w:val="left"/>
            </w:pPr>
            <w:r>
              <w:t xml:space="preserve">Scope 3 (Value Chain - Downstream)</w:t>
            </w:r>
          </w:p>
        </w:tc>
        <w:tc>
          <w:tcPr/>
          <w:p>
            <w:pPr>
              <w:pStyle w:val="Compact"/>
              <w:jc w:val="left"/>
            </w:pPr>
            <w:r>
              <w:t xml:space="preserve">25.00 (Use Phase) - 5.50 (EoL) = 19.50</w:t>
            </w:r>
          </w:p>
        </w:tc>
        <w:tc>
          <w:tcPr/>
          <w:p>
            <w:pPr>
              <w:pStyle w:val="Compact"/>
              <w:jc w:val="left"/>
            </w:pPr>
            <w:r>
              <w:t xml:space="preserve">49.55%</w:t>
            </w:r>
          </w:p>
        </w:tc>
      </w:tr>
      <w:tr>
        <w:tc>
          <w:tcPr>
            <w:gridSpan w:val="2"/>
          </w:tcPr>
          <w:p>
            <w:pPr>
              <w:pStyle w:val="Compact"/>
              <w:jc w:val="left"/>
            </w:pPr>
            <w:r>
              <w:rPr>
                <w:bCs/>
                <w:b/>
              </w:rPr>
              <w:t xml:space="preserve">Total (with EoL credit factored in)</w:t>
            </w:r>
          </w:p>
        </w:tc>
        <w:tc>
          <w:tcPr/>
          <w:p>
            <w:pPr>
              <w:pStyle w:val="Compact"/>
              <w:jc w:val="left"/>
            </w:pPr>
            <w:r>
              <w:rPr>
                <w:bCs/>
                <w:b/>
              </w:rPr>
              <w:t xml:space="preserve">39.355</w:t>
            </w:r>
          </w:p>
        </w:tc>
      </w:tr>
    </w:tbl>
    <w:p>
      <w:pPr>
        <w:pStyle w:val="BodyText"/>
      </w:pPr>
      <w:r>
        <w:t xml:space="preserve">The analysis demonstrates that Scope 3 emissions constitute the vast majority of the product\'s carbon footprint (approximately 95.27%), indicating a high reliance on value chain transparency and engagement for emission reduction strategies. This meets the 2026 requirement for at least 95% Scope 3 coverage.</w:t>
      </w:r>
    </w:p>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primary emission hotspots identified for gqeipqtmmj are:</w:t>
      </w:r>
    </w:p>
    <w:p>
      <w:pPr>
        <w:numPr>
          <w:ilvl w:val="0"/>
          <w:numId w:val="1014"/>
        </w:numPr>
        <w:pStyle w:val="Compact"/>
      </w:pPr>
      <w:r>
        <w:t xml:space="preserve">**Use Phase (25.00 kgCO2e):** This constitutes the largest single contributor, primarily due to the energy consumption of the product over its 5-year lifespan in Europe. Efforts to improve energy efficiency during the use phase or encourage the use of renewable energy by end-users will yield significant reductions.</w:t>
      </w:r>
    </w:p>
    <w:p>
      <w:pPr>
        <w:numPr>
          <w:ilvl w:val="0"/>
          <w:numId w:val="1014"/>
        </w:numPr>
        <w:pStyle w:val="Compact"/>
      </w:pPr>
      <w:r>
        <w:t xml:space="preserve">**Material Acquisition (16.10 kgCO2e):** Specifically, the Circuit Board and Aluminum Casing contribute significantly due to their high embodied energy and complex manufacturing processes. Prioritizing recycled content for aluminum and exploring lower-impact alternatives for electronics components are key strategies.</w:t>
      </w:r>
    </w:p>
    <w:bookmarkEnd w:id="47"/>
    <w:bookmarkStart w:id="48" w:name="reliability"/>
    <w:p>
      <w:pPr>
        <w:pStyle w:val="Heading3"/>
      </w:pPr>
      <w:r>
        <w:t xml:space="preserve">5.2 Reliability</w:t>
      </w:r>
    </w:p>
    <w:p>
      <w:pPr>
        <w:pStyle w:val="FirstParagraph"/>
      </w:pPr>
      <w:r>
        <w:t xml:space="preserve">The reliability of this PCF analysis is high for the Manufacturing and Transport phases, where specific operational data (energy intensity, distances) and industry-average emission factors were used. The Material Acquisition phase relies on provided BOM data and robust secondary emission factors. The Use Phase and End-of-Life estimations involve more assumptions regarding user behavior and disposal infrastructure but are based on reasonable industry averages and the provided recyclability percentage and circular economy programs. The detailed breakdown aims to enhance transparency.</w:t>
      </w:r>
    </w:p>
    <w:bookmarkEnd w:id="48"/>
    <w:bookmarkStart w:id="49" w:name="X25ab271e0b973df754491ec5ddcb2d245f47eaf"/>
    <w:p>
      <w:pPr>
        <w:pStyle w:val="Heading3"/>
      </w:pPr>
      <w:r>
        <w:t xml:space="preserve">5.3 GHG Protocol Adherence and 2026 LSR Update</w:t>
      </w:r>
    </w:p>
    <w:p>
      <w:pPr>
        <w:pStyle w:val="FirstParagraph"/>
      </w:pPr>
      <w:r>
        <w:t xml:space="preserve">This report strictly adheres to the GHG Protocol Product Life Cycle Accounting and Reporting Standard. Emissions have been meticulously categorized into Scope 1, Scope 2, and Scope 3, with a strong focus on comprehensive Scope 3 reporting, achieving over 95% coverage.</w:t>
      </w:r>
    </w:p>
    <w:p>
      <w:pPr>
        <w:pStyle w:val="BodyText"/>
      </w:pPr>
      <w:r>
        <w:t xml:space="preserve">The 2026 Land Sector and Removals (LSR) Standard is acknowledged as a critical update for accounting for land emissions and CO2 removals, effective January 1, 2027. While gqeipqtmmj does not directly involve land-intensive activities or carbon removal technologies, the spirit of the LSR Standard is incorporated by considering potential land-use impacts within the upstream supply chain of raw materials, ensuring that any such impacts would be captured within the Scope 3 emissions where relevant. Companies with significant land-based activities, such as those in food, fiber, or fuel sectors, will find the LSR Standard particularly impactful.</w:t>
      </w:r>
    </w:p>
    <w:bookmarkEnd w:id="49"/>
    <w:bookmarkStart w:id="50" w:name="recommendations"/>
    <w:p>
      <w:pPr>
        <w:pStyle w:val="Heading3"/>
      </w:pPr>
      <w:r>
        <w:t xml:space="preserve">5.4 Recommendations</w:t>
      </w:r>
    </w:p>
    <w:p>
      <w:pPr>
        <w:numPr>
          <w:ilvl w:val="0"/>
          <w:numId w:val="1015"/>
        </w:numPr>
        <w:pStyle w:val="Compact"/>
      </w:pPr>
      <w:r>
        <w:t xml:space="preserve">**Decarbonize the Use Phase:** Invest in R&amp;D to further enhance product energy efficiency. Provide clear information to consumers on energy-saving practices and the benefits of sourcing renewable electricity.</w:t>
      </w:r>
    </w:p>
    <w:p>
      <w:pPr>
        <w:numPr>
          <w:ilvl w:val="0"/>
          <w:numId w:val="1015"/>
        </w:numPr>
        <w:pStyle w:val="Compact"/>
      </w:pPr>
      <w:r>
        <w:t xml:space="preserve">**Optimize Material Sourcing:** Engage with suppliers of aluminum and circuit boards to explore lower-carbon materials, increased recycled content, and renewable energy adoption in their production processes.</w:t>
      </w:r>
    </w:p>
    <w:p>
      <w:pPr>
        <w:numPr>
          <w:ilvl w:val="0"/>
          <w:numId w:val="1015"/>
        </w:numPr>
        <w:pStyle w:val="Compact"/>
      </w:pPr>
      <w:r>
        <w:t xml:space="preserve">**Enhance Circularity:** Strengthen the existing take-back programs and explore innovative recycling technologies to increase the effective recycling rate beyond 70%, further reducing End-of-Life emissions and maximizing resource value.</w:t>
      </w:r>
    </w:p>
    <w:p>
      <w:pPr>
        <w:numPr>
          <w:ilvl w:val="0"/>
          <w:numId w:val="1015"/>
        </w:numPr>
        <w:pStyle w:val="Compact"/>
      </w:pPr>
      <w:r>
        <w:t xml:space="preserve">**Supplier Engagement:** Implement robust supplier engagement programs to collect more primary data for Scope 3 emissions, improving accuracy and identifying further reduction opportunities across the value chain.</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gqeipqtmmj</dc:title>
  <dc:creator/>
  <dc:description>High-detail Product Carbon Footprint (PCF) analysis for gqeipqtmmj, adhering to GHG Protocol and 2026 LSR update, performed by Senior Sustainability Consultant fheggxnvzq for wqrjyfeged.</dc:description>
  <dc:language>en</dc:language>
  <cp:keywords/>
  <dcterms:created xsi:type="dcterms:W3CDTF">2026-05-30T14:51:54Z</dcterms:created>
  <dcterms:modified xsi:type="dcterms:W3CDTF">2026-05-30T14:51:54Z</dcterms:modified>
</cp:coreProperties>
</file>

<file path=docProps/custom.xml><?xml version="1.0" encoding="utf-8"?>
<Properties xmlns="http://schemas.openxmlformats.org/officeDocument/2006/custom-properties" xmlns:vt="http://schemas.openxmlformats.org/officeDocument/2006/docPropsVTypes"/>
</file>