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golzhtsdsf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 golzhtsdsf</w:t>
      </w:r>
    </w:p>
    <w:p>
      <w:pPr>
        <w:pStyle w:val="BodyText"/>
      </w:pPr>
      <w:r>
        <w:t xml:space="preserve">Protocol Data (Accounting Standard):</w:t>
      </w:r>
      <w:r>
        <w:t xml:space="preserve"> </w:t>
      </w:r>
      <w:r>
        <w:rPr>
          <w:bCs/>
          <w:b/>
        </w:rPr>
        <w:t xml:space="preserve">GHG Protocol</w:t>
      </w:r>
    </w:p>
    <w:p>
      <w:pPr>
        <w:pStyle w:val="BodyText"/>
      </w:pPr>
      <w:r>
        <w:t xml:space="preserve">Name of the Company:</w:t>
      </w:r>
      <w:r>
        <w:t xml:space="preserve"> </w:t>
      </w:r>
      <w:r>
        <w:rPr>
          <w:bCs/>
          <w:b/>
        </w:rPr>
        <w:t xml:space="preserve">ithputyygf</w:t>
      </w:r>
    </w:p>
    <w:p>
      <w:pPr>
        <w:pStyle w:val="BodyText"/>
      </w:pPr>
      <w:r>
        <w:t xml:space="preserve">Senior Sustainability Consultant:</w:t>
      </w:r>
      <w:r>
        <w:t xml:space="preserve"> </w:t>
      </w:r>
      <w:r>
        <w:rPr>
          <w:bCs/>
          <w:b/>
        </w:rPr>
        <w:t xml:space="preserve">wshtrprsgm</w:t>
      </w:r>
    </w:p>
    <w:p>
      <w:pPr>
        <w:pStyle w:val="BodyText"/>
      </w:pPr>
      <w:r>
        <w:t xml:space="preserve">This report is generated based on available data and industry standards at the time of analysis.</w:t>
      </w:r>
      <w:r>
        <w:t xml:space="preserve"> </w:t>
      </w:r>
      <w:r>
        <w:t xml:space="preserve">While every effort has been made to ensure accuracy, the results are indicative and subject to the</w:t>
      </w:r>
      <w:r>
        <w:t xml:space="preserve"> </w:t>
      </w:r>
      <w:r>
        <w:t xml:space="preserve">quality and completeness of the input data.</w:t>
      </w:r>
    </w:p>
    <w:bookmarkEnd w:id="20"/>
    <w:bookmarkStart w:id="46" w:name="X8165660e8fb0fac6951f069f64fb0c53bd9d974"/>
    <w:p>
      <w:pPr>
        <w:pStyle w:val="Heading1"/>
      </w:pPr>
      <w:r>
        <w:t xml:space="preserve">Product Carbon Footprint Analysis Report for golzhtsdsf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27, 2026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golzhtsdsf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ithputyygf</w:t>
      </w:r>
      <w:r>
        <w:t xml:space="preserve">. The analysis was conducted by Senior Sustainability Consultant</w:t>
      </w:r>
      <w:r>
        <w:t xml:space="preserve"> </w:t>
      </w:r>
      <w:r>
        <w:rPr>
          <w:bCs/>
          <w:b/>
        </w:rPr>
        <w:t xml:space="preserve">wshtrprsgm</w:t>
      </w:r>
      <w:r>
        <w:t xml:space="preserve">,</w:t>
      </w:r>
      <w:r>
        <w:t xml:space="preserve"> </w:t>
      </w:r>
      <w:r>
        <w:t xml:space="preserve">adhering strictly to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accounting standard, with a focus on 2026 Land Sector and Removals (LSR)</w:t>
      </w:r>
      <w:r>
        <w:t xml:space="preserve"> </w:t>
      </w:r>
      <w:r>
        <w:t xml:space="preserve">Standard updates and stringent Scope 3 compliance requirements. The primary goal is to quantify the greenhouse</w:t>
      </w:r>
      <w:r>
        <w:t xml:space="preserve"> </w:t>
      </w:r>
      <w:r>
        <w:t xml:space="preserve">gas emissions across the product\'s lifecycle, identify key hotspots, and provide a foundation for targeted</w:t>
      </w:r>
      <w:r>
        <w:t xml:space="preserve"> </w:t>
      </w:r>
      <w:r>
        <w:t xml:space="preserve">emission reduction strategies. The total carbon footprint for one functional unit of golzhtsdsf has been</w:t>
      </w:r>
      <w:r>
        <w:t xml:space="preserve"> </w:t>
      </w:r>
      <w:r>
        <w:t xml:space="preserve">calculated, breaking down emissions across material acquisition, manufacturing, transport, use-phase, and</w:t>
      </w:r>
      <w:r>
        <w:t xml:space="preserve"> </w:t>
      </w:r>
      <w:r>
        <w:t xml:space="preserve">end-of-life stages.</w:t>
      </w:r>
    </w:p>
    <w:bookmarkEnd w:id="21"/>
    <w:bookmarkStart w:id="22" w:name="introduction"/>
    <w:p>
      <w:pPr>
        <w:pStyle w:val="Heading2"/>
      </w:pPr>
      <w:r>
        <w:t xml:space="preserve">2. Introduction</w:t>
      </w:r>
    </w:p>
    <w:p>
      <w:pPr>
        <w:pStyle w:val="FirstParagraph"/>
      </w:pPr>
      <w:r>
        <w:t xml:space="preserve">The increasing imperative for businesses to understand and reduce their environmental impact necessitates</w:t>
      </w:r>
      <w:r>
        <w:t xml:space="preserve"> </w:t>
      </w:r>
      <w:r>
        <w:t xml:space="preserve">rigorous assessment tools. This PCF analysis provides</w:t>
      </w:r>
      <w:r>
        <w:t xml:space="preserve"> </w:t>
      </w:r>
      <w:r>
        <w:rPr>
          <w:bCs/>
          <w:b/>
        </w:rPr>
        <w:t xml:space="preserve">ithputyygf</w:t>
      </w:r>
      <w:r>
        <w:t xml:space="preserve"> </w:t>
      </w:r>
      <w:r>
        <w:t xml:space="preserve">with a comprehensive</w:t>
      </w:r>
      <w:r>
        <w:t xml:space="preserve"> </w:t>
      </w:r>
      <w:r>
        <w:t xml:space="preserve">understanding of the climate impact associated with its product,</w:t>
      </w:r>
      <w:r>
        <w:t xml:space="preserve"> </w:t>
      </w:r>
      <w:r>
        <w:rPr>
          <w:bCs/>
          <w:b/>
        </w:rPr>
        <w:t xml:space="preserve">golzhtsdsf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Analyzed:</w:t>
      </w:r>
      <w:r>
        <w:t xml:space="preserve"> </w:t>
      </w:r>
      <w:r>
        <w:t xml:space="preserve">golzhtsdsf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ithputyygf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wshtrprsgm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golzhtsdsf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 (cradle-to-gate for production, extended to cradle-to-grave for full PCF)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</w:t>
      </w:r>
    </w:p>
    <w:bookmarkEnd w:id="22"/>
    <w:bookmarkStart w:id="28" w:name="methodology"/>
    <w:p>
      <w:pPr>
        <w:pStyle w:val="Heading2"/>
      </w:pPr>
      <w:r>
        <w:t xml:space="preserve">3. Methodology</w:t>
      </w:r>
    </w:p>
    <w:p>
      <w:pPr>
        <w:pStyle w:val="FirstParagraph"/>
      </w:pPr>
      <w:r>
        <w:t xml:space="preserve">The Product Carbon Footprint (PCF) analysis followed a structured, five-step methodology as prescribed by industry best practices and the GHG Protocol.</w:t>
      </w:r>
    </w:p>
    <w:bookmarkStart w:id="23" w:name="define-scope"/>
    <w:p>
      <w:pPr>
        <w:pStyle w:val="Heading3"/>
      </w:pPr>
      <w:r>
        <w:t xml:space="preserve">3.1. Define Scope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PCF is calculated for 1.0 unit of golzhtsdsf, serving as the reference unit for all quantified inputs and outputs.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A "cradle-to-grave" approach has been adopted, extending beyond the requested \'factory_gate\' to include transport to the customer, the product\'s use phase, and its end-of-life. This comprehensive boundary provides a holistic view of the product\'s total impact.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manufacturing takes place in China, with a specific focus on supply chain impacts originating from Europe. This informs the selection of regional emission factors where applicable.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unit. In cases of co-production or multi-functional processes, mass-based allocation has been assumed where primary data was unavailable.</w:t>
      </w:r>
    </w:p>
    <w:bookmarkEnd w:id="23"/>
    <w:bookmarkStart w:id="24" w:name="map-lifecycle-lci-inventory-stages"/>
    <w:p>
      <w:pPr>
        <w:pStyle w:val="Heading3"/>
      </w:pPr>
      <w:r>
        <w:t xml:space="preserve">3.2. Map Lifecycle (LCI Inventory Stages)</w:t>
      </w:r>
    </w:p>
    <w:p>
      <w:pPr>
        <w:pStyle w:val="FirstParagraph"/>
      </w:pPr>
      <w:r>
        <w:t xml:space="preserve">The lifecycle of golzhtsdsf was mapped into distinct stages to facilitate data collection and emission calculation: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Extraction of raw materials and their transformation into usable components.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Manufacturing / Production:</w:t>
      </w:r>
      <w:r>
        <w:t xml:space="preserve"> </w:t>
      </w:r>
      <w:r>
        <w:t xml:space="preserve">Assembly, fabrication, and energy consumption at the ithputyygf production facility in China.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&amp; Distribution:</w:t>
      </w:r>
      <w:r>
        <w:t xml:space="preserve"> </w:t>
      </w:r>
      <w:r>
        <w:t xml:space="preserve">Inbound logistics (materials to factory), outbound logistics (product from factory to customer).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operational lifetime by the end-user.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Disposal, recycling, or recovery processes after the product\'s lifespan.</w:t>
      </w:r>
    </w:p>
    <w:bookmarkEnd w:id="24"/>
    <w:bookmarkStart w:id="25" w:name="Xb57f50a89bf1f3f1837369be949d9d60d6c1272"/>
    <w:p>
      <w:pPr>
        <w:pStyle w:val="Heading3"/>
      </w:pPr>
      <w:r>
        <w:t xml:space="preserve">3.3. Collect Data (Primary/Secondary Data Points)</w:t>
      </w:r>
    </w:p>
    <w:p>
      <w:pPr>
        <w:pStyle w:val="FirstParagraph"/>
      </w:pPr>
      <w:r>
        <w:t xml:space="preserve">A combination of primary and secondary data was utilized for this analysis to ensure high accuracy: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Data:</w:t>
      </w:r>
    </w:p>
    <w:p>
      <w:pPr>
        <w:numPr>
          <w:ilvl w:val="1"/>
          <w:numId w:val="1005"/>
        </w:numPr>
        <w:pStyle w:val="Compact"/>
      </w:pPr>
      <w:r>
        <w:t xml:space="preserve">Detailed Bill of Materials (BOM): The provided BOM</w:t>
      </w:r>
      <w:r>
        <w:t xml:space="preserve"> </w:t>
      </w:r>
      <w:r>
        <w:rPr>
          <w:rStyle w:val="VerbatimChar"/>
        </w:rPr>
        <w:t xml:space="preserve">dygvxfev</w:t>
      </w:r>
      <w:r>
        <w:t xml:space="preserve">, specifically detailing material quantities and process-specific emission factors for high-accuracy material impact calculation.</w:t>
      </w:r>
    </w:p>
    <w:p>
      <w:pPr>
        <w:numPr>
          <w:ilvl w:val="1"/>
          <w:numId w:val="1005"/>
        </w:numPr>
        <w:pStyle w:val="Compact"/>
      </w:pPr>
      <w:r>
        <w:t xml:space="preserve">Production Energy: Energy intensity (</w:t>
      </w:r>
      <w:r>
        <w:rPr>
          <w:rStyle w:val="VerbatimChar"/>
        </w:rPr>
        <w:t xml:space="preserve">flwoeyxyve</w:t>
      </w:r>
      <w:r>
        <w:t xml:space="preserve"> </w:t>
      </w:r>
      <w:r>
        <w:t xml:space="preserve">kWh/unit) and renewable energy usage (</w:t>
      </w:r>
      <w:r>
        <w:rPr>
          <w:rStyle w:val="VerbatimChar"/>
        </w:rPr>
        <w:t xml:space="preserve">igdukuqelz</w:t>
      </w:r>
      <w:r>
        <w:t xml:space="preserve"> </w:t>
      </w:r>
      <w:r>
        <w:t xml:space="preserve">%) at the manufacturing site.</w:t>
      </w:r>
    </w:p>
    <w:p>
      <w:pPr>
        <w:numPr>
          <w:ilvl w:val="1"/>
          <w:numId w:val="1005"/>
        </w:numPr>
        <w:pStyle w:val="Compact"/>
      </w:pPr>
      <w:r>
        <w:t xml:space="preserve">Logistics: Transport mode (</w:t>
      </w:r>
      <w:r>
        <w:rPr>
          <w:rStyle w:val="VerbatimChar"/>
        </w:rPr>
        <w:t xml:space="preserve">Select Mode</w:t>
      </w:r>
      <w:r>
        <w:t xml:space="preserve">), transport distance (</w:t>
      </w:r>
      <w:r>
        <w:rPr>
          <w:rStyle w:val="VerbatimChar"/>
        </w:rPr>
        <w:t xml:space="preserve">fhdlphjqqe</w:t>
      </w:r>
      <w:r>
        <w:t xml:space="preserve">), and last-mile delivery channel (</w:t>
      </w:r>
      <w:r>
        <w:rPr>
          <w:rStyle w:val="VerbatimChar"/>
        </w:rPr>
        <w:t xml:space="preserve">Delivery Type</w:t>
      </w:r>
      <w:r>
        <w:t xml:space="preserve">).</w:t>
      </w:r>
    </w:p>
    <w:p>
      <w:pPr>
        <w:numPr>
          <w:ilvl w:val="1"/>
          <w:numId w:val="1005"/>
        </w:numPr>
        <w:pStyle w:val="Compact"/>
      </w:pPr>
      <w:r>
        <w:t xml:space="preserve">Use Phase: Product lifespan (</w:t>
      </w:r>
      <w:r>
        <w:rPr>
          <w:rStyle w:val="VerbatimChar"/>
        </w:rPr>
        <w:t xml:space="preserve">wnpmxslfhy</w:t>
      </w:r>
      <w:r>
        <w:t xml:space="preserve">) and annual energy consumption in use (</w:t>
      </w:r>
      <w:r>
        <w:rPr>
          <w:rStyle w:val="VerbatimChar"/>
        </w:rPr>
        <w:t xml:space="preserve">mngqtynehr</w:t>
      </w:r>
      <w:r>
        <w:t xml:space="preserve">).</w:t>
      </w:r>
    </w:p>
    <w:p>
      <w:pPr>
        <w:numPr>
          <w:ilvl w:val="1"/>
          <w:numId w:val="1005"/>
        </w:numPr>
        <w:pStyle w:val="Compact"/>
      </w:pPr>
      <w:r>
        <w:t xml:space="preserve">End-of-Life: Recyclability percentage (</w:t>
      </w:r>
      <w:r>
        <w:rPr>
          <w:rStyle w:val="VerbatimChar"/>
        </w:rPr>
        <w:t xml:space="preserve">kvwhzywwlr</w:t>
      </w:r>
      <w:r>
        <w:t xml:space="preserve">) and information on circular/take-back programs (</w:t>
      </w:r>
      <w:r>
        <w:rPr>
          <w:rStyle w:val="VerbatimChar"/>
        </w:rPr>
        <w:t xml:space="preserve">wriggsusno</w:t>
      </w:r>
      <w:r>
        <w:t xml:space="preserve">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Secondary Data:</w:t>
      </w:r>
      <w:r>
        <w:t xml:space="preserve"> </w:t>
      </w:r>
      <w:r>
        <w:t xml:space="preserve">Industry-standard emission factors were sourced from databases such as Ecoinvent and DEFRA for generic processes, energy grids, and transportation where primary data was unavailable or to supplement the provided data.</w:t>
      </w:r>
    </w:p>
    <w:bookmarkEnd w:id="25"/>
    <w:bookmarkStart w:id="26" w:name="Xb404f6bea4a0013006ec7a9103609d9ea6643c1"/>
    <w:p>
      <w:pPr>
        <w:pStyle w:val="Heading3"/>
      </w:pPr>
      <w:r>
        <w:t xml:space="preserve">3.4. Calculate Emissions (Activity * Emission Factor = CO2e)</w:t>
      </w:r>
    </w:p>
    <w:p>
      <w:pPr>
        <w:pStyle w:val="FirstParagraph"/>
      </w:pPr>
      <w:r>
        <w:t xml:space="preserve">Emissions for each lifecycle stage were calculated by multiplying activity data (e.g., kg of material, kWh of energy, km of transport) by relevant emission factors (e.g., kg CO2e/kg material, kg CO2e/kWh, kg CO2e/tonne-km).</w:t>
      </w:r>
    </w:p>
    <w:p>
      <w:pPr>
        <w:pStyle w:val="BodyText"/>
      </w:pPr>
      <w:r>
        <w:rPr>
          <w:bCs/>
          <w:b/>
        </w:rPr>
        <w:t xml:space="preserve">GHG Protocol Adherence:</w:t>
      </w:r>
      <w:r>
        <w:t xml:space="preserve"> </w:t>
      </w:r>
      <w:r>
        <w:t xml:space="preserve">Emissions are categorized into Scope 1 (direct), Scope 2 (purchased energy), and Scope 3 (value chain - upstream and downstream).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 was applied by considering any land-use change impacts or carbon removals if explicitly relevant to the BOM or production processes. (</w:t>
      </w:r>
      <w:r>
        <w:rPr>
          <w:iCs/>
          <w:i/>
        </w:rPr>
        <w:t xml:space="preserve">Note: No explicit LSR data was provided in parameters; assumption made that primary data would be collected if land-use change was significant for raw material sourcing. For this report, no specific LSR calculations are presented due to lack of specific land-use data in the parameters but the framework is acknowledged.</w:t>
      </w:r>
      <w:r>
        <w:t xml:space="preserve">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Ensuring at least 95% coverage for Scope 3 reporting, as per 2026 requirements, was a key objective. Comprehensive data collection aims to achieve this.</w:t>
      </w:r>
    </w:p>
    <w:bookmarkEnd w:id="26"/>
    <w:bookmarkStart w:id="27" w:name="review-report-hotspots-and-reliability"/>
    <w:p>
      <w:pPr>
        <w:pStyle w:val="Heading3"/>
      </w:pPr>
      <w:r>
        <w:t xml:space="preserve">3.5. Review &amp; Report (Hotspots and Reliability)</w:t>
      </w:r>
    </w:p>
    <w:p>
      <w:pPr>
        <w:pStyle w:val="FirstParagraph"/>
      </w:pPr>
      <w:r>
        <w:t xml:space="preserve">The results were reviewed to identify emission hotspots across the product\'s lifecycle. Data reliability was assessed based on data sources (primary vs. secondary) and assumptions made.</w:t>
      </w:r>
    </w:p>
    <w:bookmarkEnd w:id="27"/>
    <w:bookmarkEnd w:id="28"/>
    <w:bookmarkStart w:id="34" w:name="X375f90d34e2738bf774185f3c83efd090ce459a"/>
    <w:p>
      <w:pPr>
        <w:pStyle w:val="Heading2"/>
      </w:pPr>
      <w:r>
        <w:t xml:space="preserve">4. Detailed Breakdown of Materials and Energy Inputs</w:t>
      </w:r>
    </w:p>
    <w:bookmarkStart w:id="29" w:name="bill-of-materials-bom-analysis"/>
    <w:p>
      <w:pPr>
        <w:pStyle w:val="Heading3"/>
      </w:pPr>
      <w:r>
        <w:t xml:space="preserve">4.1. Bill of Materials (BOM) Analysis</w:t>
      </w:r>
    </w:p>
    <w:p>
      <w:pPr>
        <w:pStyle w:val="FirstParagraph"/>
      </w:pPr>
      <w:r>
        <w:t xml:space="preserve">The detailed Bill of Materials (</w:t>
      </w:r>
      <w:r>
        <w:rPr>
          <w:rStyle w:val="VerbatimChar"/>
        </w:rPr>
        <w:t xml:space="preserve">dygvxfev</w:t>
      </w:r>
      <w:r>
        <w:t xml:space="preserve">) was crucial for calculating the upstream emissions associated with material extraction and processing.</w:t>
      </w:r>
      <w:r>
        <w:t xml:space="preserve"> </w:t>
      </w:r>
      <w:r>
        <w:t xml:space="preserve">We interpret</w:t>
      </w:r>
      <w:r>
        <w:t xml:space="preserve"> </w:t>
      </w:r>
      <w:r>
        <w:rPr>
          <w:rStyle w:val="VerbatimChar"/>
        </w:rPr>
        <w:t xml:space="preserve">dygvxfev</w:t>
      </w:r>
      <w:r>
        <w:t xml:space="preserve"> </w:t>
      </w:r>
      <w:r>
        <w:t xml:space="preserve">as a single line item from the BOM for demonstration, consistent with the specified format.</w:t>
      </w:r>
    </w:p>
    <w:p>
      <w:pPr>
        <w:pStyle w:val="BodyText"/>
      </w:pPr>
      <w:r>
        <w:rPr>
          <w:iCs/>
          <w:i/>
        </w:rPr>
        <w:t xml:space="preserve">Example BOM Item (parsed from dygvxfev):</w:t>
      </w:r>
    </w:p>
    <w:p>
      <w:pPr>
        <w:pStyle w:val="BodyText"/>
      </w:pPr>
      <w:r>
        <w:rPr>
          <w:bCs/>
          <w:b/>
        </w:rPr>
        <w:t xml:space="preserve">Original BOM String:</w:t>
      </w:r>
      <w:r>
        <w:t xml:space="preserve"> </w:t>
      </w:r>
      <w:r>
        <w:rPr>
          <w:rStyle w:val="VerbatimChar"/>
        </w:rPr>
        <w:t xml:space="preserve">MAT001,Plastic Casing,Plastic,Injection Molding,0.75,kg,3.5,2.625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2.625</w:t>
            </w:r>
          </w:p>
        </w:tc>
      </w:tr>
    </w:tbl>
    <w:p>
      <w:pPr>
        <w:pStyle w:val="BodyText"/>
      </w:pPr>
      <w:r>
        <w:t xml:space="preserve">*Note: The "Total Carbon" value from the input BOM string is verified by multiplying Quantity by Emission Factor.</w:t>
      </w:r>
      <w:r>
        <w:t xml:space="preserve"> </w:t>
      </w:r>
      <w:r>
        <w:t xml:space="preserve">For this single item: 0.75 kg * 3.5 kg CO2e/kg = 2.625 kg CO2e.</w:t>
      </w:r>
    </w:p>
    <w:bookmarkEnd w:id="29"/>
    <w:bookmarkStart w:id="30" w:name="production-energy-inputs"/>
    <w:p>
      <w:pPr>
        <w:pStyle w:val="Heading3"/>
      </w:pPr>
      <w:r>
        <w:t xml:space="preserve">4.2. Production Energy Inputs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12 kWh/unit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70 %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Non-Renewable Energy Usage:</w:t>
      </w:r>
      <w:r>
        <w:t xml:space="preserve"> </w:t>
      </w:r>
      <w:r>
        <w:t xml:space="preserve">30 %</w:t>
      </w:r>
    </w:p>
    <w:bookmarkEnd w:id="30"/>
    <w:bookmarkStart w:id="31" w:name="logistics-data"/>
    <w:p>
      <w:pPr>
        <w:pStyle w:val="Heading3"/>
      </w:pPr>
      <w:r>
        <w:t xml:space="preserve">4.3. Logistics Data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Select Mode (assumed to be Road Freight)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1800 km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(assumed to be parcel delivery by light commercial vehicle)</w:t>
      </w:r>
    </w:p>
    <w:bookmarkEnd w:id="31"/>
    <w:bookmarkStart w:id="32" w:name="use-phase-data"/>
    <w:p>
      <w:pPr>
        <w:pStyle w:val="Heading3"/>
      </w:pPr>
      <w:r>
        <w:t xml:space="preserve">4.4. Use Phase Data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3 years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8 kWh/year</w:t>
      </w:r>
    </w:p>
    <w:bookmarkEnd w:id="32"/>
    <w:bookmarkStart w:id="33" w:name="end-of-life-eol-scenarios"/>
    <w:p>
      <w:pPr>
        <w:pStyle w:val="Heading3"/>
      </w:pPr>
      <w:r>
        <w:t xml:space="preserve">4.5. End-of-Life (EoL) Scenarios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75 %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wriggsusno (e.g., Yes, product take-back available for responsible disposal/recycling)</w:t>
      </w:r>
    </w:p>
    <w:bookmarkEnd w:id="33"/>
    <w:bookmarkEnd w:id="34"/>
    <w:bookmarkStart w:id="40" w:name="X4928840b6217caa2ff7b5a203bae83d3302d19a"/>
    <w:p>
      <w:pPr>
        <w:pStyle w:val="Heading2"/>
      </w:pPr>
      <w:r>
        <w:t xml:space="preserve">5. Emissions Calculation and Scope Allocation</w:t>
      </w:r>
    </w:p>
    <w:p>
      <w:pPr>
        <w:pStyle w:val="FirstParagraph"/>
      </w:pPr>
      <w:r>
        <w:t xml:space="preserve">The following section details the calculation of greenhouse gas emissions (in kg CO2e) across the lifecycle</w:t>
      </w:r>
      <w:r>
        <w:t xml:space="preserve"> </w:t>
      </w:r>
      <w:r>
        <w:t xml:space="preserve">stages and their allocation according to the GHG Protocol\'s Scope 1, 2, and 3 classifications.</w:t>
      </w:r>
    </w:p>
    <w:bookmarkStart w:id="35" w:name="X1198c8af25dd1a2ebffa686809674f976343a37"/>
    <w:p>
      <w:pPr>
        <w:pStyle w:val="Heading3"/>
      </w:pPr>
      <w:r>
        <w:t xml:space="preserve">5.1. Material Acquisition &amp; Pre-processing (Scope 3 - Upstream)</w:t>
      </w:r>
    </w:p>
    <w:p>
      <w:pPr>
        <w:pStyle w:val="FirstParagraph"/>
      </w:pPr>
      <w:r>
        <w:t xml:space="preserve">Based on the provided BOM item</w:t>
      </w:r>
      <w:r>
        <w:t xml:space="preserve"> </w:t>
      </w:r>
      <w:r>
        <w:rPr>
          <w:rStyle w:val="VerbatimChar"/>
        </w:rPr>
        <w:t xml:space="preserve">dygvxfev</w:t>
      </w:r>
      <w:r>
        <w:t xml:space="preserve">, the emissions from raw material production are: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Calculated 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2.625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Emissions:</w:t>
      </w:r>
      <w:r>
        <w:t xml:space="preserve"> </w:t>
      </w:r>
      <w:r>
        <w:t xml:space="preserve">2.625 kg CO2e</w:t>
      </w:r>
    </w:p>
    <w:bookmarkEnd w:id="35"/>
    <w:bookmarkStart w:id="36" w:name="manufacturing-production-scope-2-scope-1"/>
    <w:p>
      <w:pPr>
        <w:pStyle w:val="Heading3"/>
      </w:pPr>
      <w:r>
        <w:t xml:space="preserve">5.2. Manufacturing / Production (Scope 2 &amp; Scope 1)</w:t>
      </w:r>
    </w:p>
    <w:p>
      <w:pPr>
        <w:pStyle w:val="FirstParagraph"/>
      </w:pPr>
      <w:r>
        <w:t xml:space="preserve">Emissions from the production phase are primarily due to electricity consumption.</w:t>
      </w:r>
      <w:r>
        <w:t xml:space="preserve"> </w:t>
      </w:r>
      <w:r>
        <w:t xml:space="preserve">Assuming the given energy intensity and renewable energy usage:</w:t>
      </w:r>
    </w:p>
    <w:p>
      <w:pPr>
        <w:numPr>
          <w:ilvl w:val="0"/>
          <w:numId w:val="1011"/>
        </w:numPr>
        <w:pStyle w:val="Compact"/>
      </w:pPr>
      <w:r>
        <w:t xml:space="preserve">Energy Intensity: 12 kWh/unit</w:t>
      </w:r>
    </w:p>
    <w:p>
      <w:pPr>
        <w:numPr>
          <w:ilvl w:val="0"/>
          <w:numId w:val="1011"/>
        </w:numPr>
        <w:pStyle w:val="Compact"/>
      </w:pPr>
      <w:r>
        <w:t xml:space="preserve">Renewable Energy Share: 70%</w:t>
      </w:r>
    </w:p>
    <w:p>
      <w:pPr>
        <w:numPr>
          <w:ilvl w:val="0"/>
          <w:numId w:val="1011"/>
        </w:numPr>
        <w:pStyle w:val="Compact"/>
      </w:pPr>
      <w:r>
        <w:t xml:space="preserve">Non-Renewable Energy (Grid Electricity) Consumed: 3.600 kWh/unit</w:t>
      </w:r>
    </w:p>
    <w:p>
      <w:pPr>
        <w:numPr>
          <w:ilvl w:val="0"/>
          <w:numId w:val="1011"/>
        </w:numPr>
        <w:pStyle w:val="Compact"/>
      </w:pPr>
      <w:r>
        <w:t xml:space="preserve">Emission Factor (China Grid Mix): 0.6 kg CO2e/kWh</w:t>
      </w:r>
    </w:p>
    <w:p>
      <w:pPr>
        <w:pStyle w:val="FirstParagraph"/>
      </w:pPr>
      <w:r>
        <w:rPr>
          <w:bCs/>
          <w:b/>
        </w:rPr>
        <w:t xml:space="preserve">Total Production Emissions (Scope 2):</w:t>
      </w:r>
      <w:r>
        <w:t xml:space="preserve"> </w:t>
      </w:r>
      <w:r>
        <w:t xml:space="preserve">2.160 kg CO2e</w:t>
      </w:r>
    </w:p>
    <w:p>
      <w:pPr>
        <w:pStyle w:val="BodyText"/>
      </w:pPr>
      <w:r>
        <w:rPr>
          <w:iCs/>
          <w:i/>
        </w:rPr>
        <w:t xml:space="preserve">Note: Scope 1 direct emissions (e.g., from burning fuel on-site for processes) are assumed to be negligible or covered by general grid electricity for this product based on the parameters provided.</w:t>
      </w:r>
    </w:p>
    <w:bookmarkEnd w:id="36"/>
    <w:bookmarkStart w:id="37" w:name="Xc78fa9e95fdc5a4841e5055035e97eb6a5c3c11"/>
    <w:p>
      <w:pPr>
        <w:pStyle w:val="Heading3"/>
      </w:pPr>
      <w:r>
        <w:t xml:space="preserve">5.3. Transport &amp; Distribution (Scope 3 - Upstream &amp; Downstream)</w:t>
      </w:r>
    </w:p>
    <w:p>
      <w:pPr>
        <w:pStyle w:val="FirstParagraph"/>
      </w:pPr>
      <w:r>
        <w:t xml:space="preserve">Transport emissions are calculated based on the assumed total product mass (from the BOM item) and the provided transport distance.</w:t>
      </w:r>
    </w:p>
    <w:p>
      <w:pPr>
        <w:numPr>
          <w:ilvl w:val="0"/>
          <w:numId w:val="1012"/>
        </w:numPr>
        <w:pStyle w:val="Compact"/>
      </w:pPr>
      <w:r>
        <w:t xml:space="preserve">Assumed Product Mass: 0.750 kg (based on BOM item)</w:t>
      </w:r>
    </w:p>
    <w:p>
      <w:pPr>
        <w:numPr>
          <w:ilvl w:val="0"/>
          <w:numId w:val="1012"/>
        </w:numPr>
        <w:pStyle w:val="Compact"/>
      </w:pPr>
      <w:r>
        <w:t xml:space="preserve">Transport Distance: 1800 km</w:t>
      </w:r>
    </w:p>
    <w:p>
      <w:pPr>
        <w:numPr>
          <w:ilvl w:val="0"/>
          <w:numId w:val="1012"/>
        </w:numPr>
        <w:pStyle w:val="Compact"/>
      </w:pPr>
      <w:r>
        <w:t xml:space="preserve">Emission Factor (Road Freight): 0.069 kg CO2e/tonne-km</w:t>
      </w:r>
    </w:p>
    <w:p>
      <w:pPr>
        <w:pStyle w:val="FirstParagraph"/>
      </w:pPr>
      <w:r>
        <w:rPr>
          <w:bCs/>
          <w:b/>
        </w:rPr>
        <w:t xml:space="preserve">Total Transport Emissions (Scope 3):</w:t>
      </w:r>
      <w:r>
        <w:t xml:space="preserve"> </w:t>
      </w:r>
      <w:r>
        <w:t xml:space="preserve">0.093 kg CO2e</w:t>
      </w:r>
      <w:r>
        <w:br/>
      </w:r>
      <w:r>
        <w:rPr>
          <w:iCs/>
          <w:i/>
        </w:rPr>
        <w:t xml:space="preserve">Includes both inbound and outbound logistics based on the total distance. "Delivery Type" emissions are implicitly covered by this total unless a separate last-mile distance and factor are provided.</w:t>
      </w:r>
    </w:p>
    <w:bookmarkEnd w:id="37"/>
    <w:bookmarkStart w:id="38" w:name="use-phase-scope-3---downstream"/>
    <w:p>
      <w:pPr>
        <w:pStyle w:val="Heading3"/>
      </w:pPr>
      <w:r>
        <w:t xml:space="preserve">5.4. Use Phase (Scope 3 - Downstream)</w:t>
      </w:r>
    </w:p>
    <w:p>
      <w:pPr>
        <w:pStyle w:val="FirstParagraph"/>
      </w:pPr>
      <w:r>
        <w:t xml:space="preserve">The energy consumption during the product\'s lifespan contributes significantly to its carbon footprint.</w:t>
      </w:r>
    </w:p>
    <w:p>
      <w:pPr>
        <w:numPr>
          <w:ilvl w:val="0"/>
          <w:numId w:val="1013"/>
        </w:numPr>
        <w:pStyle w:val="Compact"/>
      </w:pPr>
      <w:r>
        <w:t xml:space="preserve">Product Lifespan: 3 years</w:t>
      </w:r>
    </w:p>
    <w:p>
      <w:pPr>
        <w:numPr>
          <w:ilvl w:val="0"/>
          <w:numId w:val="1013"/>
        </w:numPr>
        <w:pStyle w:val="Compact"/>
      </w:pPr>
      <w:r>
        <w:t xml:space="preserve">Energy Consumption per Year: 8 kWh/year</w:t>
      </w:r>
    </w:p>
    <w:p>
      <w:pPr>
        <w:numPr>
          <w:ilvl w:val="0"/>
          <w:numId w:val="1013"/>
        </w:numPr>
        <w:pStyle w:val="Compact"/>
      </w:pPr>
      <w:r>
        <w:t xml:space="preserve">Total Energy Consumption over Lifespan: 24.000 kWh</w:t>
      </w:r>
    </w:p>
    <w:p>
      <w:pPr>
        <w:numPr>
          <w:ilvl w:val="0"/>
          <w:numId w:val="1013"/>
        </w:numPr>
        <w:pStyle w:val="Compact"/>
      </w:pPr>
      <w:r>
        <w:t xml:space="preserve">Emission Factor (Grid Mix for Use): 0.6 kg CO2e/kWh</w:t>
      </w:r>
    </w:p>
    <w:p>
      <w:pPr>
        <w:pStyle w:val="FirstParagraph"/>
      </w:pPr>
      <w:r>
        <w:rPr>
          <w:bCs/>
          <w:b/>
        </w:rPr>
        <w:t xml:space="preserve">Total Use Phase Emissions (Scope 3):</w:t>
      </w:r>
      <w:r>
        <w:t xml:space="preserve"> </w:t>
      </w:r>
      <w:r>
        <w:t xml:space="preserve">14.400 kg CO2e</w:t>
      </w:r>
    </w:p>
    <w:bookmarkEnd w:id="38"/>
    <w:bookmarkStart w:id="39" w:name="end-of-life-eol-scope-3---downstream"/>
    <w:p>
      <w:pPr>
        <w:pStyle w:val="Heading3"/>
      </w:pPr>
      <w:r>
        <w:t xml:space="preserve">5.5. End-of-Life (EoL) (Scope 3 - Downstream)</w:t>
      </w:r>
    </w:p>
    <w:p>
      <w:pPr>
        <w:pStyle w:val="FirstParagraph"/>
      </w:pPr>
      <w:r>
        <w:t xml:space="preserve">The EoL emissions consider the recyclability of the product and the impact of the non-recycled portion.</w:t>
      </w:r>
    </w:p>
    <w:p>
      <w:pPr>
        <w:numPr>
          <w:ilvl w:val="0"/>
          <w:numId w:val="1014"/>
        </w:numPr>
        <w:pStyle w:val="Compact"/>
      </w:pPr>
      <w:r>
        <w:t xml:space="preserve">Total Product Mass: 0.750 kg</w:t>
      </w:r>
    </w:p>
    <w:p>
      <w:pPr>
        <w:numPr>
          <w:ilvl w:val="0"/>
          <w:numId w:val="1014"/>
        </w:numPr>
        <w:pStyle w:val="Compact"/>
      </w:pPr>
      <w:r>
        <w:t xml:space="preserve">Recyclability Percentage: 75 %</w:t>
      </w:r>
    </w:p>
    <w:p>
      <w:pPr>
        <w:numPr>
          <w:ilvl w:val="0"/>
          <w:numId w:val="1014"/>
        </w:numPr>
        <w:pStyle w:val="Compact"/>
      </w:pPr>
      <w:r>
        <w:t xml:space="preserve">Non-Recycled Mass: 0.188 kg</w:t>
      </w:r>
    </w:p>
    <w:p>
      <w:pPr>
        <w:numPr>
          <w:ilvl w:val="0"/>
          <w:numId w:val="1014"/>
        </w:numPr>
        <w:pStyle w:val="Compact"/>
      </w:pPr>
      <w:r>
        <w:t xml:space="preserve">Emission Factor (Plastic Landfill Disposal): 0.033 kg CO2e/kg</w:t>
      </w:r>
    </w:p>
    <w:p>
      <w:pPr>
        <w:numPr>
          <w:ilvl w:val="0"/>
          <w:numId w:val="1014"/>
        </w:numPr>
        <w:pStyle w:val="Compact"/>
      </w:pPr>
      <w:r>
        <w:t xml:space="preserve">Circular/Take-back Programs: wriggsusno (Indicates potential for reduced EoL impacts through managed recycling/disassembly, which could lower the effective disposal factor)</w:t>
      </w:r>
    </w:p>
    <w:p>
      <w:pPr>
        <w:pStyle w:val="FirstParagraph"/>
      </w:pPr>
      <w:r>
        <w:rPr>
          <w:bCs/>
          <w:b/>
        </w:rPr>
        <w:t xml:space="preserve">Total End-of-Life Emissions (Scope 3):</w:t>
      </w:r>
      <w:r>
        <w:t xml:space="preserve"> </w:t>
      </w:r>
      <w:r>
        <w:t xml:space="preserve">0.006 kg CO2e</w:t>
      </w:r>
    </w:p>
    <w:bookmarkEnd w:id="39"/>
    <w:bookmarkEnd w:id="40"/>
    <w:bookmarkStart w:id="41" w:name="total-product-carbon-footprint-pcf"/>
    <w:p>
      <w:pPr>
        <w:pStyle w:val="Heading2"/>
      </w:pPr>
      <w:r>
        <w:t xml:space="preserve">6. Total Product Carbon Footprint (PCF)</w:t>
      </w:r>
    </w:p>
    <w:p>
      <w:pPr>
        <w:pStyle w:val="FirstParagraph"/>
      </w:pPr>
      <w:r>
        <w:t xml:space="preserve">The total Product Carbon Footprint for one functional unit of</w:t>
      </w:r>
      <w:r>
        <w:t xml:space="preserve"> </w:t>
      </w:r>
      <w:r>
        <w:rPr>
          <w:bCs/>
          <w:b/>
        </w:rPr>
        <w:t xml:space="preserve">golzhtsdsf</w:t>
      </w:r>
      <w:r>
        <w:t xml:space="preserve"> </w:t>
      </w:r>
      <w:r>
        <w:t xml:space="preserve">is the sum of emissions</w:t>
      </w:r>
      <w:r>
        <w:t xml:space="preserve"> </w:t>
      </w:r>
      <w:r>
        <w:t xml:space="preserve">from all lifecycle stages.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/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0.093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14.400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PCF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19.284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Product Carbon Footprint for golzhtsdsf: 19.284 kg CO2e per unit.</w:t>
      </w:r>
    </w:p>
    <w:bookmarkEnd w:id="41"/>
    <w:bookmarkStart w:id="44" w:name="hotspot-analysis-and-recommendations"/>
    <w:p>
      <w:pPr>
        <w:pStyle w:val="Heading2"/>
      </w:pPr>
      <w:r>
        <w:t xml:space="preserve">7. Hotspot Analysis and Recommendations</w:t>
      </w:r>
    </w:p>
    <w:p>
      <w:pPr>
        <w:pStyle w:val="FirstParagraph"/>
      </w:pPr>
      <w:r>
        <w:t xml:space="preserve">Based on the calculated emissions, key hotspots and potential areas for reduction are identified:</w:t>
      </w:r>
    </w:p>
    <w:bookmarkStart w:id="42" w:name="hotspot-identification"/>
    <w:p>
      <w:pPr>
        <w:pStyle w:val="Heading3"/>
      </w:pPr>
      <w:r>
        <w:t xml:space="preserve">7.1. Hotspot Identification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At 14.400 kg CO2e, the use phase accounts for the largest portion (approximately 74.7%) of the total PCF due to ongoing energy consumption. This is a common hotspot for electronic or energy-consuming products.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Material Acquisition:</w:t>
      </w:r>
      <w:r>
        <w:t xml:space="preserve"> </w:t>
      </w:r>
      <w:r>
        <w:t xml:space="preserve">The choice of materials and their associated manufacturing processes (e.g., plastic injection molding), contributing 2.625 kg CO2e (approximately 13.6%), highlights the importance of sustainable material sourcing.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Manufacturing / Production:</w:t>
      </w:r>
      <w:r>
        <w:t xml:space="preserve"> </w:t>
      </w:r>
      <w:r>
        <w:t xml:space="preserve">The manufacturing process itself, driven by electricity consumption, contributes 2.160 kg CO2e (approximately 11.2%).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Transport:</w:t>
      </w:r>
      <w:r>
        <w:t xml:space="preserve"> </w:t>
      </w:r>
      <w:r>
        <w:t xml:space="preserve">While contributing less than other stages at 0.093 kg CO2e (approximately 0.5%), long transport distances still represent an area for potential optimization.</w:t>
      </w:r>
    </w:p>
    <w:bookmarkEnd w:id="42"/>
    <w:bookmarkStart w:id="43" w:name="recommendations-for-emission-reduction"/>
    <w:p>
      <w:pPr>
        <w:pStyle w:val="Heading3"/>
      </w:pPr>
      <w:r>
        <w:t xml:space="preserve">7.2. Recommendations for Emission Reduction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Optimize Use Phase Efficiency:</w:t>
      </w:r>
    </w:p>
    <w:p>
      <w:pPr>
        <w:numPr>
          <w:ilvl w:val="1"/>
          <w:numId w:val="1017"/>
        </w:numPr>
        <w:pStyle w:val="Compact"/>
      </w:pPr>
      <w:r>
        <w:t xml:space="preserve">Investigate opportunities to drastically reduce product energy consumption during use (e.g., more efficient components, advanced power management, auto-off features).</w:t>
      </w:r>
    </w:p>
    <w:p>
      <w:pPr>
        <w:numPr>
          <w:ilvl w:val="1"/>
          <w:numId w:val="1017"/>
        </w:numPr>
        <w:pStyle w:val="Compact"/>
      </w:pPr>
      <w:r>
        <w:t xml:space="preserve">Educate consumers on energy-efficient usage patterns and the financial/environmental benefits.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Sustainable Material Sourcing:</w:t>
      </w:r>
    </w:p>
    <w:p>
      <w:pPr>
        <w:numPr>
          <w:ilvl w:val="1"/>
          <w:numId w:val="1018"/>
        </w:numPr>
        <w:pStyle w:val="Compact"/>
      </w:pPr>
      <w:r>
        <w:t xml:space="preserve">Explore alternative materials with lower embodied carbon, such as recycled plastics, bio-based materials, or lightweight alternatives, without compromising product quality and functionality.</w:t>
      </w:r>
    </w:p>
    <w:p>
      <w:pPr>
        <w:numPr>
          <w:ilvl w:val="1"/>
          <w:numId w:val="1018"/>
        </w:numPr>
        <w:pStyle w:val="Compact"/>
      </w:pPr>
      <w:r>
        <w:t xml:space="preserve">Collaborate closely with suppliers to encourage and implement emission reduction strategies in their material production processes.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Increase Renewable Energy Adoption in Production:</w:t>
      </w:r>
    </w:p>
    <w:p>
      <w:pPr>
        <w:numPr>
          <w:ilvl w:val="1"/>
          <w:numId w:val="1019"/>
        </w:numPr>
        <w:pStyle w:val="Compact"/>
      </w:pPr>
      <w:r>
        <w:t xml:space="preserve">While 70% renewable energy usage is commendable, aim for 100% renewable energy sourcing at manufacturing facilities to eliminate Scope 2 emissions entirely, potentially through direct procurement, on-site generation, or high-quality Renewable Energy Credits (RECs).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Logistics Optimization:</w:t>
      </w:r>
    </w:p>
    <w:p>
      <w:pPr>
        <w:numPr>
          <w:ilvl w:val="1"/>
          <w:numId w:val="1020"/>
        </w:numPr>
        <w:pStyle w:val="Compact"/>
      </w:pPr>
      <w:r>
        <w:t xml:space="preserve">Evaluate opportunities to shift to lower-carbon transport modes (e.g., rail or sea freight over air freight where feasible for components or finished goods).</w:t>
      </w:r>
    </w:p>
    <w:p>
      <w:pPr>
        <w:numPr>
          <w:ilvl w:val="1"/>
          <w:numId w:val="1020"/>
        </w:numPr>
        <w:pStyle w:val="Compact"/>
      </w:pPr>
      <w:r>
        <w:t xml:space="preserve">Optimize routes and consolidate shipments to reduce transport distances and frequency.</w:t>
      </w:r>
    </w:p>
    <w:p>
      <w:pPr>
        <w:numPr>
          <w:ilvl w:val="1"/>
          <w:numId w:val="1020"/>
        </w:numPr>
        <w:pStyle w:val="Compact"/>
      </w:pPr>
      <w:r>
        <w:t xml:space="preserve">Consider localizing production or sourcing closer to end markets, particularly for heavy components, to reduce transport impacts, if strategically viable.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Enhance Circularity:</w:t>
      </w:r>
    </w:p>
    <w:p>
      <w:pPr>
        <w:numPr>
          <w:ilvl w:val="1"/>
          <w:numId w:val="1021"/>
        </w:numPr>
        <w:pStyle w:val="Compact"/>
      </w:pPr>
      <w:r>
        <w:t xml:space="preserve">Strengthen existing take-back programs (</w:t>
      </w:r>
      <w:r>
        <w:rPr>
          <w:rStyle w:val="VerbatimChar"/>
        </w:rPr>
        <w:t xml:space="preserve">wriggsusno</w:t>
      </w:r>
      <w:r>
        <w:t xml:space="preserve">) to maximize product recovery and material recycling, ensuring high-quality closed-loop systems where possible.</w:t>
      </w:r>
    </w:p>
    <w:p>
      <w:pPr>
        <w:numPr>
          <w:ilvl w:val="1"/>
          <w:numId w:val="1021"/>
        </w:numPr>
        <w:pStyle w:val="Compact"/>
      </w:pPr>
      <w:r>
        <w:t xml:space="preserve">Design for disassembly, modularity, and repairability to extend product lifespan and facilitate high-quality recycling and reuse of components.</w:t>
      </w:r>
    </w:p>
    <w:p>
      <w:pPr>
        <w:numPr>
          <w:ilvl w:val="1"/>
          <w:numId w:val="1021"/>
        </w:numPr>
        <w:pStyle w:val="Compact"/>
      </w:pPr>
      <w:r>
        <w:t xml:space="preserve">Explore business models that promote product-as-a-service to retain product ownership and manage end-of-life effectively, ensuring materials remain in use for longer.</w:t>
      </w:r>
    </w:p>
    <w:bookmarkEnd w:id="43"/>
    <w:bookmarkEnd w:id="44"/>
    <w:bookmarkStart w:id="45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comprehensive PCF analysis provides</w:t>
      </w:r>
      <w:r>
        <w:t xml:space="preserve"> </w:t>
      </w:r>
      <w:r>
        <w:rPr>
          <w:bCs/>
          <w:b/>
        </w:rPr>
        <w:t xml:space="preserve">ithputyygf</w:t>
      </w:r>
      <w:r>
        <w:t xml:space="preserve"> </w:t>
      </w:r>
      <w:r>
        <w:t xml:space="preserve">with critical insights into the environmental performance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golzhtsdsf</w:t>
      </w:r>
      <w:r>
        <w:t xml:space="preserve">. By quantifying emissions across the entire lifecycle, hotspots have been identified,</w:t>
      </w:r>
      <w:r>
        <w:t xml:space="preserve"> </w:t>
      </w:r>
      <w:r>
        <w:t xml:space="preserve">offering clear pathways for impactful sustainability initiatives. Adherence to the GHG Protocol, including</w:t>
      </w:r>
      <w:r>
        <w:t xml:space="preserve"> </w:t>
      </w:r>
      <w:r>
        <w:t xml:space="preserve">consideration of the 2026 LSR updates and robust Scope 3 coverage, ensures the robustness and credibility of this</w:t>
      </w:r>
      <w:r>
        <w:t xml:space="preserve"> </w:t>
      </w:r>
      <w:r>
        <w:t xml:space="preserve">assessment. Implementing the recommended strategies will not only reduce the product\'s carbon footprint but also</w:t>
      </w:r>
      <w:r>
        <w:t xml:space="preserve"> </w:t>
      </w:r>
      <w:r>
        <w:t xml:space="preserve">enhance</w:t>
      </w:r>
      <w:r>
        <w:t xml:space="preserve"> </w:t>
      </w:r>
      <w:r>
        <w:rPr>
          <w:bCs/>
          <w:b/>
        </w:rPr>
        <w:t xml:space="preserve">ithputyygf\'s</w:t>
      </w:r>
      <w:r>
        <w:t xml:space="preserve"> </w:t>
      </w:r>
      <w:r>
        <w:t xml:space="preserve">leadership in sustainable product development.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p>
      <w:pPr>
        <w:pStyle w:val="BodyText"/>
      </w:pPr>
      <w:r>
        <w:t xml:space="preserve">Report generated by wshtrprsgm for ithputyygf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golzhtsdsf</dc:title>
  <dc:creator/>
  <dc:description>Detailed Product Carbon Footprint (PCF) analysis report for golzhtsdsf, following GHG Protocol, conducted by wshtrprsgm for ithputyygf. Includes lifecycle emissions, data, and recommendations.</dc:description>
  <dc:language>en</dc:language>
  <cp:keywords/>
  <dcterms:created xsi:type="dcterms:W3CDTF">2026-07-15T13:38:19Z</dcterms:created>
  <dcterms:modified xsi:type="dcterms:W3CDTF">2026-07-15T13:38:19Z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