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gnrdfjufur</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For Product:</w:t>
      </w:r>
      <w:r>
        <w:t xml:space="preserve"> </w:t>
      </w:r>
      <w:r>
        <w:t xml:space="preserve">gnrdfjufur</w:t>
      </w:r>
    </w:p>
    <w:p>
      <w:pPr>
        <w:pStyle w:val="BodyText"/>
      </w:pPr>
      <w:r>
        <w:rPr>
          <w:bCs/>
          <w:b/>
        </w:rPr>
        <w:t xml:space="preserve">Company Name:</w:t>
      </w:r>
      <w:r>
        <w:t xml:space="preserve"> </w:t>
      </w:r>
      <w:r>
        <w:t xml:space="preserve">oxulgizztf</w:t>
      </w:r>
    </w:p>
    <w:p>
      <w:pPr>
        <w:pStyle w:val="BodyText"/>
      </w:pPr>
      <w:r>
        <w:rPr>
          <w:bCs/>
          <w:b/>
        </w:rPr>
        <w:t xml:space="preserve">Senior Sustainability Consultant:</w:t>
      </w:r>
      <w:r>
        <w:t xml:space="preserve"> </w:t>
      </w:r>
      <w:r>
        <w:t xml:space="preserve">gqjxhkeldg</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for the purpose of Product Carbon Footprint analysis.</w:t>
      </w:r>
    </w:p>
    <w:p>
      <w:pPr>
        <w:pStyle w:val="BodyText"/>
      </w:pPr>
      <w:r>
        <w:t xml:space="preserve">While every effort has been made to ensure accuracy, this report should be used for informational purposes and internal decision-making.</w:t>
      </w:r>
    </w:p>
    <w:bookmarkEnd w:id="20"/>
    <w:bookmarkStart w:id="47" w:name="Xaf0a36429b6443149deef6e26720bb90479148a"/>
    <w:p>
      <w:pPr>
        <w:pStyle w:val="Heading1"/>
      </w:pPr>
      <w:r>
        <w:t xml:space="preserve">Product Carbon Footprint Analysis for gnrdfjufur</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gnrdfjufur, manufactured by oxulgizztf, conducted by Senior Sustainability Consultant gqjxhkeldg. The analysis strictly adheres to the GHG Protocol standards, including the 2026 Land Sector and Removals (LSR) update and aims for at least 95% coverage for Scope 3 emissions. The assessment covers the entire lifecycle from material acquisition to end-of-life, providing a comprehensive understanding of the product\'s environmental impact in terms of CO2e emissions. Key emission hotspots are identified across material procurement, manufacturing, transportation, use phase, and end-of-life scenarios, offering actionable insights for emission reduction strategies.</w:t>
      </w:r>
    </w:p>
    <w:p>
      <w:r>
        <w:pict>
          <v:rect style="width:0;height:1.5pt" o:hralign="center" o:hrstd="t" o:hr="t"/>
        </w:pict>
      </w:r>
    </w:p>
    <w:bookmarkEnd w:id="21"/>
    <w:bookmarkStart w:id="26" w:name="defining-the-scope"/>
    <w:p>
      <w:pPr>
        <w:pStyle w:val="Heading2"/>
      </w:pPr>
      <w:r>
        <w:t xml:space="preserve">1. Defining the Scope</w:t>
      </w:r>
    </w:p>
    <w:bookmarkStart w:id="22"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 of gnrdfjufur</w:t>
      </w:r>
      <w:r>
        <w:t xml:space="preserve">, serving its intended purpose over its estimated lifespan. This unit forms the basis for all emission calculations and comparisons within this report.</w:t>
      </w:r>
    </w:p>
    <w:bookmarkEnd w:id="22"/>
    <w:bookmarkStart w:id="23" w:name="system-boundary"/>
    <w:p>
      <w:pPr>
        <w:pStyle w:val="Heading3"/>
      </w:pPr>
      <w:r>
        <w:t xml:space="preserve">1.2. System Boundary</w:t>
      </w:r>
    </w:p>
    <w:p>
      <w:pPr>
        <w:pStyle w:val="FirstParagraph"/>
      </w:pPr>
      <w:r>
        <w:t xml:space="preserve">The system boundary for this PCF is defined as</w:t>
      </w:r>
      <w:r>
        <w:t xml:space="preserve"> </w:t>
      </w:r>
      <w:r>
        <w:rPr>
          <w:bCs/>
          <w:b/>
        </w:rPr>
        <w:t xml:space="preserve">"factory_gate"</w:t>
      </w:r>
      <w:r>
        <w:t xml:space="preserve">, extending to include significant upstream and downstream lifecycle stages. This "cradle-to-grave" approach encompasses:</w:t>
      </w:r>
    </w:p>
    <w:p>
      <w:pPr>
        <w:numPr>
          <w:ilvl w:val="0"/>
          <w:numId w:val="1001"/>
        </w:numPr>
        <w:pStyle w:val="Compact"/>
      </w:pPr>
      <w:r>
        <w:rPr>
          <w:bCs/>
          <w:b/>
        </w:rPr>
        <w:t xml:space="preserve">Raw Material Acquisition and Pre-processing:</w:t>
      </w:r>
      <w:r>
        <w:t xml:space="preserve"> </w:t>
      </w:r>
      <w:r>
        <w:t xml:space="preserve">Extraction, processing, and manufacturing of all components and materials listed in the Detailed Bill of Materials (BOM).</w:t>
      </w:r>
    </w:p>
    <w:p>
      <w:pPr>
        <w:numPr>
          <w:ilvl w:val="0"/>
          <w:numId w:val="1001"/>
        </w:numPr>
        <w:pStyle w:val="Compact"/>
      </w:pPr>
      <w:r>
        <w:rPr>
          <w:bCs/>
          <w:b/>
        </w:rPr>
        <w:t xml:space="preserve">Production (Manufacturing):</w:t>
      </w:r>
      <w:r>
        <w:t xml:space="preserve"> </w:t>
      </w:r>
      <w:r>
        <w:t xml:space="preserve">All energy consumption and direct emissions associated with the assembly and finishing of gnrdfjufur at oxulgizztf\'s production facility.</w:t>
      </w:r>
    </w:p>
    <w:p>
      <w:pPr>
        <w:numPr>
          <w:ilvl w:val="0"/>
          <w:numId w:val="1001"/>
        </w:numPr>
        <w:pStyle w:val="Compact"/>
      </w:pPr>
      <w:r>
        <w:rPr>
          <w:bCs/>
          <w:b/>
        </w:rPr>
        <w:t xml:space="preserve">Transportation:</w:t>
      </w:r>
      <w:r>
        <w:t xml:space="preserve"> </w:t>
      </w:r>
      <w:r>
        <w:t xml:space="preserve">Upstream logistics of raw materials to the factory, and downstream distribution of the finished product to the customer.</w:t>
      </w:r>
    </w:p>
    <w:p>
      <w:pPr>
        <w:numPr>
          <w:ilvl w:val="0"/>
          <w:numId w:val="1001"/>
        </w:numPr>
        <w:pStyle w:val="Compact"/>
      </w:pPr>
      <w:r>
        <w:rPr>
          <w:bCs/>
          <w:b/>
        </w:rPr>
        <w:t xml:space="preserve">Use Phase:</w:t>
      </w:r>
      <w:r>
        <w:t xml:space="preserve"> </w:t>
      </w:r>
      <w:r>
        <w:t xml:space="preserve">Energy consumption and associated emissions during the product\'s expected lifespan by the end-user.</w:t>
      </w:r>
    </w:p>
    <w:p>
      <w:pPr>
        <w:numPr>
          <w:ilvl w:val="0"/>
          <w:numId w:val="1001"/>
        </w:numPr>
        <w:pStyle w:val="Compact"/>
      </w:pPr>
      <w:r>
        <w:rPr>
          <w:bCs/>
          <w:b/>
        </w:rPr>
        <w:t xml:space="preserve">End-of-Life (EoL):</w:t>
      </w:r>
      <w:r>
        <w:t xml:space="preserve"> </w:t>
      </w:r>
      <w:r>
        <w:t xml:space="preserve">Emissions and potential avoided emissions associated with recycling, disposal, or participation in circular programs.</w:t>
      </w:r>
    </w:p>
    <w:bookmarkEnd w:id="23"/>
    <w:bookmarkStart w:id="24" w:name="geographic-scope"/>
    <w:p>
      <w:pPr>
        <w:pStyle w:val="Heading3"/>
      </w:pPr>
      <w:r>
        <w:t xml:space="preserve">1.3. Geographic Scope</w:t>
      </w:r>
    </w:p>
    <w:p>
      <w:pPr>
        <w:pStyle w:val="FirstParagraph"/>
      </w:pPr>
      <w:r>
        <w:t xml:space="preserve">The geographic scope for the final production country is</w:t>
      </w:r>
      <w:r>
        <w:t xml:space="preserve"> </w:t>
      </w:r>
      <w:r>
        <w:rPr>
          <w:bCs/>
          <w:b/>
        </w:rPr>
        <w:t xml:space="preserve">China</w:t>
      </w:r>
      <w:r>
        <w:t xml:space="preserve">. The supply chain focus is specifically</w:t>
      </w:r>
      <w:r>
        <w:t xml:space="preserve"> </w:t>
      </w:r>
      <w:r>
        <w:rPr>
          <w:bCs/>
          <w:b/>
        </w:rPr>
        <w:t xml:space="preserve">Europe Focused</w:t>
      </w:r>
      <w:r>
        <w:t xml:space="preserve">, implying that upstream material sourcing and initial processing for components might largely originate from or be influenced by European supply chains, while final assembly occurs in China. Downstream distribution will also consider relevant European market logistics.</w:t>
      </w:r>
    </w:p>
    <w:bookmarkEnd w:id="24"/>
    <w:bookmarkStart w:id="25" w:name="accounting-standard"/>
    <w:p>
      <w:pPr>
        <w:pStyle w:val="Heading3"/>
      </w:pPr>
      <w:r>
        <w:t xml:space="preserve">1.4. Accounting Standard</w:t>
      </w:r>
    </w:p>
    <w:p>
      <w:pPr>
        <w:pStyle w:val="FirstParagraph"/>
      </w:pPr>
      <w:r>
        <w:t xml:space="preserve">This Product Carbon Footprint analysis is conducted in strict accordance with the</w:t>
      </w:r>
      <w:r>
        <w:t xml:space="preserve"> </w:t>
      </w:r>
      <w:r>
        <w:rPr>
          <w:bCs/>
          <w:b/>
        </w:rPr>
        <w:t xml:space="preserve">GHG Protocol</w:t>
      </w:r>
      <w:r>
        <w:t xml:space="preserve">. Emissions are categorized into Scope 1 (direct emissions), Scope 2 (indirect emissions from purchased energy), and Scope 3 (all other indirect emissions across the value chain). The report also applies the principles of the 2026 Land Sector and Removals (LSR) Standard for land use and carbon removals where applicable and ensures at least 95% coverage for Scope 3 reporting, aligning with the 2026 requirements.</w:t>
      </w:r>
    </w:p>
    <w:p>
      <w:r>
        <w:pict>
          <v:rect style="width:0;height:1.5pt" o:hralign="center" o:hrstd="t" o:hr="t"/>
        </w:pict>
      </w:r>
    </w:p>
    <w:bookmarkEnd w:id="25"/>
    <w:bookmarkEnd w:id="26"/>
    <w:bookmarkStart w:id="32" w:name="mapping-the-lifecycle-3.-data-collection"/>
    <w:p>
      <w:pPr>
        <w:pStyle w:val="Heading2"/>
      </w:pPr>
      <w:r>
        <w:t xml:space="preserve">2. Mapping the Lifecycle &amp; 3. Data Collection</w:t>
      </w:r>
    </w:p>
    <w:p>
      <w:pPr>
        <w:pStyle w:val="FirstParagraph"/>
      </w:pPr>
      <w:r>
        <w:t xml:space="preserve">The lifecycle of gnrdfjufur has been mapped into distinct stages, and comprehensive data has been collected from various sources, prioritizing primary data where available. This section details the material and energy inputs across these stages.</w:t>
      </w:r>
    </w:p>
    <w:bookmarkStart w:id="27" w:name="detailed-bill-of-materials-bom-analysis"/>
    <w:p>
      <w:pPr>
        <w:pStyle w:val="Heading3"/>
      </w:pPr>
      <w:r>
        <w:t xml:space="preserve">2.1. Detailed Bill of Materials (BOM) Analysis</w:t>
      </w:r>
    </w:p>
    <w:p>
      <w:pPr>
        <w:pStyle w:val="FirstParagraph"/>
      </w:pPr>
      <w:r>
        <w:t xml:space="preserve">The following detailed Bill of Materials (BOM) for gnrdfjufur (provided as</w:t>
      </w:r>
      <w:r>
        <w:t xml:space="preserve"> </w:t>
      </w:r>
      <w:r>
        <w:rPr>
          <w:bCs/>
          <w:b/>
        </w:rPr>
        <w:t xml:space="preserve">zfqdjeyx</w:t>
      </w:r>
      <w:r>
        <w:t xml:space="preserve">) has been used to calculate the emissions associated with raw material acquisition and pre-processing (GHG Protocol Scope 3, Category 1 - Purchased Goods and Services). The specified emission factors for each material are directly incorporated into the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(recycled)</w:t>
            </w:r>
          </w:p>
        </w:tc>
        <w:tc>
          <w:tcPr/>
          <w:p>
            <w:pPr>
              <w:pStyle w:val="Compact"/>
              <w:jc w:val="left"/>
            </w:pPr>
            <w:r>
              <w:t xml:space="preserve">Metal</w:t>
            </w:r>
          </w:p>
        </w:tc>
        <w:tc>
          <w:tcPr/>
          <w:p>
            <w:pPr>
              <w:pStyle w:val="Compact"/>
              <w:jc w:val="left"/>
            </w:pPr>
            <w:r>
              <w:t xml:space="preserve">Smelting &amp; Alloying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0.10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rPr>
          <w:bCs/>
          <w:b/>
        </w:rPr>
        <w:t xml:space="preserve">Total Material Emissions (Scope 3, Category 1):</w:t>
      </w:r>
      <w:r>
        <w:t xml:space="preserve"> </w:t>
      </w:r>
      <w:r>
        <w:t xml:space="preserve">2.91 kg CO2e per unit of gnrdfjufur.</w:t>
      </w:r>
    </w:p>
    <w:bookmarkEnd w:id="27"/>
    <w:bookmarkStart w:id="28" w:name="production-phase-data-factory-gate"/>
    <w:p>
      <w:pPr>
        <w:pStyle w:val="Heading3"/>
      </w:pPr>
      <w:r>
        <w:t xml:space="preserve">2.2. Production Phase Data (Factory Gate)</w:t>
      </w:r>
    </w:p>
    <w:p>
      <w:pPr>
        <w:pStyle w:val="FirstParagraph"/>
      </w:pPr>
      <w:r>
        <w:t xml:space="preserve">The manufacturing process at oxulgizztf\'s facility in China involves various operations, primarily powered by purchased electricity.</w:t>
      </w:r>
    </w:p>
    <w:p>
      <w:pPr>
        <w:numPr>
          <w:ilvl w:val="0"/>
          <w:numId w:val="1002"/>
        </w:numPr>
        <w:pStyle w:val="Compact"/>
      </w:pPr>
      <w:r>
        <w:rPr>
          <w:bCs/>
          <w:b/>
        </w:rPr>
        <w:t xml:space="preserve">Energy Intensity (kWh/unit):</w:t>
      </w:r>
      <w:r>
        <w:t xml:space="preserve"> </w:t>
      </w:r>
      <w:r>
        <w:t xml:space="preserve">eqhnhujntr kWh/unit (e.g., 2.5 kWh/unit)</w:t>
      </w:r>
    </w:p>
    <w:p>
      <w:pPr>
        <w:numPr>
          <w:ilvl w:val="0"/>
          <w:numId w:val="1002"/>
        </w:numPr>
        <w:pStyle w:val="Compact"/>
      </w:pPr>
      <w:r>
        <w:rPr>
          <w:bCs/>
          <w:b/>
        </w:rPr>
        <w:t xml:space="preserve">Renewable Energy Usage:</w:t>
      </w:r>
      <w:r>
        <w:t xml:space="preserve"> </w:t>
      </w:r>
      <w:r>
        <w:t xml:space="preserve">nxefwextod% (e.g., 70%) of the electricity consumed in production is from renewable sources.</w:t>
      </w:r>
    </w:p>
    <w:p>
      <w:pPr>
        <w:pStyle w:val="FirstParagraph"/>
      </w:pPr>
      <w:r>
        <w:t xml:space="preserve">For calculation purposes, industry-standard emission factors are applied for electricity in China (grid mix) and a lower factor for renewable energy.</w:t>
      </w:r>
    </w:p>
    <w:bookmarkEnd w:id="28"/>
    <w:bookmarkStart w:id="29" w:name="transportation-data"/>
    <w:p>
      <w:pPr>
        <w:pStyle w:val="Heading3"/>
      </w:pPr>
      <w:r>
        <w:t xml:space="preserve">2.3. Transportation Data</w:t>
      </w:r>
    </w:p>
    <w:p>
      <w:pPr>
        <w:pStyle w:val="FirstParagraph"/>
      </w:pPr>
      <w:r>
        <w:t xml:space="preserve">Transportation plays a significant role in the overall carbon footprint, covering both upstream (materials to factory) and downstream (finished product to customer) logistics (GHG Protocol Scope 3, Category 4 &amp; 9 - Upstream/Downstream Transportation and Distribution).</w:t>
      </w:r>
    </w:p>
    <w:p>
      <w:pPr>
        <w:numPr>
          <w:ilvl w:val="0"/>
          <w:numId w:val="1003"/>
        </w:numPr>
        <w:pStyle w:val="Compact"/>
      </w:pPr>
      <w:r>
        <w:rPr>
          <w:bCs/>
          <w:b/>
        </w:rPr>
        <w:t xml:space="preserve">Primary Transport Mode:</w:t>
      </w:r>
      <w:r>
        <w:t xml:space="preserve"> </w:t>
      </w:r>
      <w:r>
        <w:t xml:space="preserve">Select Mode (e.g., Road Freight)</w:t>
      </w:r>
    </w:p>
    <w:p>
      <w:pPr>
        <w:numPr>
          <w:ilvl w:val="0"/>
          <w:numId w:val="1003"/>
        </w:numPr>
        <w:pStyle w:val="Compact"/>
      </w:pPr>
      <w:r>
        <w:rPr>
          <w:bCs/>
          <w:b/>
        </w:rPr>
        <w:t xml:space="preserve">Average Transport Distance:</w:t>
      </w:r>
      <w:r>
        <w:t xml:space="preserve"> </w:t>
      </w:r>
      <w:r>
        <w:t xml:space="preserve">uelwniisqg km (e.g., 1500 km)</w:t>
      </w:r>
    </w:p>
    <w:p>
      <w:pPr>
        <w:numPr>
          <w:ilvl w:val="0"/>
          <w:numId w:val="1003"/>
        </w:numPr>
        <w:pStyle w:val="Compact"/>
      </w:pPr>
      <w:r>
        <w:rPr>
          <w:bCs/>
          <w:b/>
        </w:rPr>
        <w:t xml:space="preserve">Last-Mile Delivery Channel:</w:t>
      </w:r>
      <w:r>
        <w:t xml:space="preserve"> </w:t>
      </w:r>
      <w:r>
        <w:t xml:space="preserve">Delivery Type (e.g., Van Delivery)</w:t>
      </w:r>
    </w:p>
    <w:bookmarkEnd w:id="29"/>
    <w:bookmarkStart w:id="30" w:name="use-phase-data"/>
    <w:p>
      <w:pPr>
        <w:pStyle w:val="Heading3"/>
      </w:pPr>
      <w:r>
        <w:t xml:space="preserve">2.4. Use Phase Data</w:t>
      </w:r>
    </w:p>
    <w:p>
      <w:pPr>
        <w:pStyle w:val="FirstParagraph"/>
      </w:pPr>
      <w:r>
        <w:t xml:space="preserve">The emissions during the product\'s use by the consumer are a critical component (GHG Protocol Scope 3, Category 11 - Use of Sold Products).</w:t>
      </w:r>
    </w:p>
    <w:p>
      <w:pPr>
        <w:numPr>
          <w:ilvl w:val="0"/>
          <w:numId w:val="1004"/>
        </w:numPr>
        <w:pStyle w:val="Compact"/>
      </w:pPr>
      <w:r>
        <w:rPr>
          <w:bCs/>
          <w:b/>
        </w:rPr>
        <w:t xml:space="preserve">Product Lifespan:</w:t>
      </w:r>
      <w:r>
        <w:t xml:space="preserve"> </w:t>
      </w:r>
      <w:r>
        <w:t xml:space="preserve">oeuiignruu years (e.g., 5 years)</w:t>
      </w:r>
    </w:p>
    <w:p>
      <w:pPr>
        <w:numPr>
          <w:ilvl w:val="0"/>
          <w:numId w:val="1004"/>
        </w:numPr>
        <w:pStyle w:val="Compact"/>
      </w:pPr>
      <w:r>
        <w:rPr>
          <w:bCs/>
          <w:b/>
        </w:rPr>
        <w:t xml:space="preserve">Energy Consumption in Use:</w:t>
      </w:r>
      <w:r>
        <w:t xml:space="preserve"> </w:t>
      </w:r>
      <w:r>
        <w:t xml:space="preserve">tezxssymxf kWh per year (e.g., 10 kWh/year)</w:t>
      </w:r>
    </w:p>
    <w:bookmarkEnd w:id="30"/>
    <w:bookmarkStart w:id="31" w:name="end-of-life-eol-data"/>
    <w:p>
      <w:pPr>
        <w:pStyle w:val="Heading3"/>
      </w:pPr>
      <w:r>
        <w:t xml:space="preserve">2.5. End-of-Life (EoL) Data</w:t>
      </w:r>
    </w:p>
    <w:p>
      <w:pPr>
        <w:pStyle w:val="FirstParagraph"/>
      </w:pPr>
      <w:r>
        <w:t xml:space="preserve">The end-of-life treatment impacts the overall footprint through potential emissions and avoided emissions (GHG Protocol Scope 3, Category 12 - End-of-Life Treatment of Sold Products).</w:t>
      </w:r>
    </w:p>
    <w:p>
      <w:pPr>
        <w:numPr>
          <w:ilvl w:val="0"/>
          <w:numId w:val="1005"/>
        </w:numPr>
        <w:pStyle w:val="Compact"/>
      </w:pPr>
      <w:r>
        <w:rPr>
          <w:bCs/>
          <w:b/>
        </w:rPr>
        <w:t xml:space="preserve">Recyclability Percentage:</w:t>
      </w:r>
      <w:r>
        <w:t xml:space="preserve"> </w:t>
      </w:r>
      <w:r>
        <w:t xml:space="preserve">qqhdgoqesm% (e.g., 80%). This percentage indicates the proportion of the product that is technically recyclable.</w:t>
      </w:r>
    </w:p>
    <w:p>
      <w:pPr>
        <w:numPr>
          <w:ilvl w:val="0"/>
          <w:numId w:val="1005"/>
        </w:numPr>
        <w:pStyle w:val="Compact"/>
      </w:pPr>
      <w:r>
        <w:rPr>
          <w:bCs/>
          <w:b/>
        </w:rPr>
        <w:t xml:space="preserve">Circular/Take-back Programs:</w:t>
      </w:r>
      <w:r>
        <w:t xml:space="preserve"> </w:t>
      </w:r>
      <w:r>
        <w:t xml:space="preserve">vyiyihtntx (e.g., Yes, established take-back program). This indicates the presence and effectiveness of such programs.</w:t>
      </w:r>
    </w:p>
    <w:p>
      <w:r>
        <w:pict>
          <v:rect style="width:0;height:1.5pt" o:hralign="center" o:hrstd="t" o:hr="t"/>
        </w:pict>
      </w:r>
    </w:p>
    <w:bookmarkEnd w:id="31"/>
    <w:bookmarkEnd w:id="32"/>
    <w:bookmarkStart w:id="42" w:name="Xdd0f433185fde5fd9508eee9e1e7bcaa542b608"/>
    <w:p>
      <w:pPr>
        <w:pStyle w:val="Heading2"/>
      </w:pPr>
      <w:r>
        <w:t xml:space="preserve">4. Emission Calculation and GHG Protocol Categorization</w:t>
      </w:r>
    </w:p>
    <w:p>
      <w:pPr>
        <w:pStyle w:val="FirstParagraph"/>
      </w:pPr>
      <w:r>
        <w:t xml:space="preserve">Based on the collected data and assumed industry-standard emission factors, the total Product Carbon Footprint for one functional unit of gnrdfjufur is calculated and categorized according to the GHG Protocol.</w:t>
      </w:r>
    </w:p>
    <w:bookmarkStart w:id="33" w:name="calculation-assumptions-specifics"/>
    <w:p>
      <w:pPr>
        <w:pStyle w:val="Heading3"/>
      </w:pPr>
      <w:r>
        <w:t xml:space="preserve">Calculation Assumptions &amp; Specifics:</w:t>
      </w:r>
    </w:p>
    <w:p>
      <w:pPr>
        <w:numPr>
          <w:ilvl w:val="0"/>
          <w:numId w:val="1006"/>
        </w:numPr>
        <w:pStyle w:val="Compact"/>
      </w:pPr>
      <w:r>
        <w:rPr>
          <w:bCs/>
          <w:b/>
        </w:rPr>
        <w:t xml:space="preserve">Company Name:</w:t>
      </w:r>
      <w:r>
        <w:t xml:space="preserve"> </w:t>
      </w:r>
      <w:r>
        <w:t xml:space="preserve">oxulgizztf</w:t>
      </w:r>
    </w:p>
    <w:p>
      <w:pPr>
        <w:numPr>
          <w:ilvl w:val="0"/>
          <w:numId w:val="1006"/>
        </w:numPr>
        <w:pStyle w:val="Compact"/>
      </w:pPr>
      <w:r>
        <w:rPr>
          <w:bCs/>
          <w:b/>
        </w:rPr>
        <w:t xml:space="preserve">Senior Sustainability Consultant:</w:t>
      </w:r>
      <w:r>
        <w:t xml:space="preserve"> </w:t>
      </w:r>
      <w:r>
        <w:t xml:space="preserve">gqjxhkeldg</w:t>
      </w:r>
    </w:p>
    <w:p>
      <w:pPr>
        <w:numPr>
          <w:ilvl w:val="0"/>
          <w:numId w:val="1006"/>
        </w:numPr>
        <w:pStyle w:val="Compact"/>
      </w:pPr>
      <w:r>
        <w:rPr>
          <w:bCs/>
          <w:b/>
        </w:rPr>
        <w:t xml:space="preserve">Product Name:</w:t>
      </w:r>
      <w:r>
        <w:t xml:space="preserve"> </w:t>
      </w:r>
      <w:r>
        <w:t xml:space="preserve">gnrdfjufur</w:t>
      </w:r>
    </w:p>
    <w:p>
      <w:pPr>
        <w:numPr>
          <w:ilvl w:val="0"/>
          <w:numId w:val="1006"/>
        </w:numPr>
        <w:pStyle w:val="Compact"/>
      </w:pPr>
      <w:r>
        <w:rPr>
          <w:bCs/>
          <w:b/>
        </w:rPr>
        <w:t xml:space="preserve">Functional Unit:</w:t>
      </w:r>
      <w:r>
        <w:t xml:space="preserve"> </w:t>
      </w:r>
      <w:r>
        <w:t xml:space="preserve">1.0 unit</w:t>
      </w:r>
    </w:p>
    <w:p>
      <w:pPr>
        <w:numPr>
          <w:ilvl w:val="0"/>
          <w:numId w:val="1006"/>
        </w:numPr>
        <w:pStyle w:val="Compact"/>
      </w:pPr>
      <w:r>
        <w:rPr>
          <w:bCs/>
          <w:b/>
        </w:rPr>
        <w:t xml:space="preserve">System Boundary:</w:t>
      </w:r>
      <w:r>
        <w:t xml:space="preserve"> </w:t>
      </w:r>
      <w:r>
        <w:t xml:space="preserve">factory_gate (cradle-to-grave)</w:t>
      </w:r>
    </w:p>
    <w:p>
      <w:pPr>
        <w:numPr>
          <w:ilvl w:val="0"/>
          <w:numId w:val="1006"/>
        </w:numPr>
        <w:pStyle w:val="Compact"/>
      </w:pPr>
      <w:r>
        <w:rPr>
          <w:bCs/>
          <w:b/>
        </w:rPr>
        <w:t xml:space="preserve">Final Production Country:</w:t>
      </w:r>
      <w:r>
        <w:t xml:space="preserve"> </w:t>
      </w:r>
      <w:r>
        <w:t xml:space="preserve">China</w:t>
      </w:r>
    </w:p>
    <w:p>
      <w:pPr>
        <w:numPr>
          <w:ilvl w:val="0"/>
          <w:numId w:val="1006"/>
        </w:numPr>
        <w:pStyle w:val="Compact"/>
      </w:pPr>
      <w:r>
        <w:rPr>
          <w:bCs/>
          <w:b/>
        </w:rPr>
        <w:t xml:space="preserve">Supply Chain Focus:</w:t>
      </w:r>
      <w:r>
        <w:t xml:space="preserve"> </w:t>
      </w:r>
      <w:r>
        <w:t xml:space="preserve">Europe Focused</w:t>
      </w:r>
    </w:p>
    <w:p>
      <w:pPr>
        <w:numPr>
          <w:ilvl w:val="0"/>
          <w:numId w:val="1006"/>
        </w:numPr>
        <w:pStyle w:val="Compact"/>
      </w:pPr>
      <w:r>
        <w:rPr>
          <w:bCs/>
          <w:b/>
        </w:rPr>
        <w:t xml:space="preserve">Accounting Standard:</w:t>
      </w:r>
      <w:r>
        <w:t xml:space="preserve"> </w:t>
      </w:r>
      <w:r>
        <w:t xml:space="preserve">GHG Protocol</w:t>
      </w:r>
    </w:p>
    <w:bookmarkEnd w:id="33"/>
    <w:bookmarkStart w:id="39" w:name="emission-factor-ef-values-used"/>
    <w:p>
      <w:pPr>
        <w:pStyle w:val="Heading3"/>
      </w:pPr>
      <w:r>
        <w:t xml:space="preserve">Emission Factor (EF) Values Used:</w:t>
      </w:r>
    </w:p>
    <w:p>
      <w:pPr>
        <w:numPr>
          <w:ilvl w:val="0"/>
          <w:numId w:val="1007"/>
        </w:numPr>
        <w:pStyle w:val="Compact"/>
      </w:pPr>
      <w:r>
        <w:t xml:space="preserve">BOM Materials EFs: As per `zfqdjeyx` table.</w:t>
      </w:r>
    </w:p>
    <w:p>
      <w:pPr>
        <w:numPr>
          <w:ilvl w:val="0"/>
          <w:numId w:val="1007"/>
        </w:numPr>
        <w:pStyle w:val="Compact"/>
      </w:pPr>
      <w:r>
        <w:t xml:space="preserve">Electricity EF (China grid average): 0.6 kg CO2e/kWh</w:t>
      </w:r>
    </w:p>
    <w:p>
      <w:pPr>
        <w:numPr>
          <w:ilvl w:val="0"/>
          <w:numId w:val="1007"/>
        </w:numPr>
        <w:pStyle w:val="Compact"/>
      </w:pPr>
      <w:r>
        <w:t xml:space="preserve">Electricity EF (renewable residual): 0.05 kg CO2e/kWh</w:t>
      </w:r>
    </w:p>
    <w:p>
      <w:pPr>
        <w:numPr>
          <w:ilvl w:val="0"/>
          <w:numId w:val="1007"/>
        </w:numPr>
        <w:pStyle w:val="Compact"/>
      </w:pPr>
      <w:r>
        <w:t xml:space="preserve">Transport (Road Freight, general): 0.1 kg CO2e/tonne-km</w:t>
      </w:r>
    </w:p>
    <w:p>
      <w:pPr>
        <w:numPr>
          <w:ilvl w:val="0"/>
          <w:numId w:val="1007"/>
        </w:numPr>
        <w:pStyle w:val="Compact"/>
      </w:pPr>
      <w:r>
        <w:t xml:space="preserve">Transport (Last-Mile Van, per unit basis): 0.012 kg CO2e/km/unit</w:t>
      </w:r>
    </w:p>
    <w:p>
      <w:pPr>
        <w:numPr>
          <w:ilvl w:val="0"/>
          <w:numId w:val="1007"/>
        </w:numPr>
        <w:pStyle w:val="Compact"/>
      </w:pPr>
      <w:r>
        <w:t xml:space="preserve">Use Phase Electricity EF (Europe average): 0.25 kg CO2e/kWh</w:t>
      </w:r>
    </w:p>
    <w:p>
      <w:pPr>
        <w:numPr>
          <w:ilvl w:val="0"/>
          <w:numId w:val="1007"/>
        </w:numPr>
        <w:pStyle w:val="Compact"/>
      </w:pPr>
      <w:r>
        <w:t xml:space="preserve">End-of-Life (Recycling process EF): 0.1 kg CO2e/kg</w:t>
      </w:r>
    </w:p>
    <w:p>
      <w:pPr>
        <w:numPr>
          <w:ilvl w:val="0"/>
          <w:numId w:val="1007"/>
        </w:numPr>
        <w:pStyle w:val="Compact"/>
      </w:pPr>
      <w:r>
        <w:t xml:space="preserve">End-of-Life (Avoided Virgin Material Credit EF): -1.5 kg CO2e/kg</w:t>
      </w:r>
    </w:p>
    <w:p>
      <w:pPr>
        <w:numPr>
          <w:ilvl w:val="0"/>
          <w:numId w:val="1007"/>
        </w:numPr>
        <w:pStyle w:val="Compact"/>
      </w:pPr>
      <w:r>
        <w:t xml:space="preserve">End-of-Life (Landfill EF): 0.3 kg CO2e/kg</w:t>
      </w:r>
    </w:p>
    <w:bookmarkStart w:id="34" w:name="Xad58bef50d294735f0ab253366e2ce4fdb0caf2"/>
    <w:p>
      <w:pPr>
        <w:pStyle w:val="Heading4"/>
      </w:pPr>
      <w:r>
        <w:t xml:space="preserve">Step-by-step Calculation (using example values: `uelwniisqg`=1500 km, `nxefwextod`=70%, `eqhnhujntr`=2.5 kWh/unit, `oeuiignruu`=5 years, `tezxssymxf`=10 kWh/year, `qqhdgoqesm`=80%):</w:t>
      </w:r>
    </w:p>
    <w:p>
      <w:pPr>
        <w:pStyle w:val="FirstParagraph"/>
      </w:pPr>
      <w:r>
        <w:rPr>
          <w:bCs/>
          <w:b/>
        </w:rPr>
        <w:t xml:space="preserve">Total Product Weight (from BOM):</w:t>
      </w:r>
      <w:r>
        <w:t xml:space="preserve"> </w:t>
      </w:r>
      <w:r>
        <w:t xml:space="preserve">1.15 kg</w:t>
      </w:r>
    </w:p>
    <w:bookmarkEnd w:id="34"/>
    <w:bookmarkStart w:id="35" w:name="Xa5e05c0e793b2e3b8927cb1b228e81f97f2094b"/>
    <w:p>
      <w:pPr>
        <w:pStyle w:val="Heading4"/>
      </w:pPr>
      <w:r>
        <w:t xml:space="preserve">Scope 1 Emissions (Direct Emissions from Owned or Controlled Sources)</w:t>
      </w:r>
    </w:p>
    <w:p>
      <w:pPr>
        <w:pStyle w:val="FirstParagraph"/>
      </w:pPr>
      <w:r>
        <w:t xml:space="preserve">For this product-level analysis, direct fuel combustion for manufacturing is assumed to be negligible or covered by Scope 2. Therefore, Scope 1 emissions are considered</w:t>
      </w:r>
      <w:r>
        <w:t xml:space="preserve"> </w:t>
      </w:r>
      <w:r>
        <w:rPr>
          <w:bCs/>
          <w:b/>
        </w:rPr>
        <w:t xml:space="preserve">0.00 kg CO2e</w:t>
      </w:r>
      <w:r>
        <w:t xml:space="preserve"> </w:t>
      </w:r>
      <w:r>
        <w:t xml:space="preserve">for this specific product analysis.</w:t>
      </w:r>
    </w:p>
    <w:p>
      <w:pPr>
        <w:pStyle w:val="BodyText"/>
      </w:pPr>
      <w:r>
        <w:rPr>
          <w:bCs/>
          <w:b/>
        </w:rPr>
        <w:t xml:space="preserve">Total Scope 1 Emissions: 0.00 kg CO2e</w:t>
      </w:r>
    </w:p>
    <w:bookmarkEnd w:id="35"/>
    <w:bookmarkStart w:id="36" w:name="X33d42548c2bab93646feffc874963474793a275"/>
    <w:p>
      <w:pPr>
        <w:pStyle w:val="Heading4"/>
      </w:pPr>
      <w:r>
        <w:t xml:space="preserve">Scope 2 Emissions (Indirect Emissions from Purchased Electricity, Steam, Heat, or Cooling)</w:t>
      </w:r>
    </w:p>
    <w:p>
      <w:pPr>
        <w:pStyle w:val="FirstParagraph"/>
      </w:pPr>
      <w:r>
        <w:t xml:space="preserve">Non-renewable electricity = eqhnhujntr kWh/unit * (1 - (nxefwextod/100))</w:t>
      </w:r>
    </w:p>
    <w:p>
      <w:pPr>
        <w:pStyle w:val="BodyText"/>
      </w:pPr>
      <w:r>
        <w:t xml:space="preserve">Renewable electricity = eqhnhujntr kWh/unit * (nxefwextod/100)</w:t>
      </w:r>
    </w:p>
    <w:p>
      <w:pPr>
        <w:pStyle w:val="BodyText"/>
      </w:pPr>
      <w:r>
        <w:t xml:space="preserve">Scope 2 Emissions = (Non-renewable electricity * China grid average EF) + (Renewable electricity * Renewable residual EF)</w:t>
      </w:r>
    </w:p>
    <w:p>
      <w:pPr>
        <w:pStyle w:val="BodyText"/>
      </w:pPr>
      <w:r>
        <w:rPr>
          <w:iCs/>
          <w:i/>
        </w:rPr>
        <w:t xml:space="preserve">Example:</w:t>
      </w:r>
      <w:r>
        <w:t xml:space="preserve"> </w:t>
      </w:r>
      <w:r>
        <w:t xml:space="preserve">2.5 kWh/unit * (1 - 0.70) = 0.75 kWh (non-renewable); 2.5 kWh/unit * 0.70 = 1.75 kWh (renewable)</w:t>
      </w:r>
    </w:p>
    <w:p>
      <w:pPr>
        <w:pStyle w:val="BodyText"/>
      </w:pPr>
      <w:r>
        <w:t xml:space="preserve">Scope 2 Emissions = (0.75 kWh * 0.6 kg CO2e/kWh) + (1.75 kWh * 0.05 kg CO2e/kWh) = 0.45 kg CO2e + 0.0875 kg CO2e =</w:t>
      </w:r>
      <w:r>
        <w:t xml:space="preserve"> </w:t>
      </w:r>
      <w:r>
        <w:rPr>
          <w:bCs/>
          <w:b/>
        </w:rPr>
        <w:t xml:space="preserve">0.54 kg CO2e</w:t>
      </w:r>
    </w:p>
    <w:p>
      <w:pPr>
        <w:pStyle w:val="BodyText"/>
      </w:pPr>
      <w:r>
        <w:rPr>
          <w:bCs/>
          <w:b/>
        </w:rPr>
        <w:t xml:space="preserve">Total Scope 2 Emissions: 0.54 kg CO2e</w:t>
      </w:r>
    </w:p>
    <w:bookmarkEnd w:id="36"/>
    <w:bookmarkStart w:id="37" w:name="Xfba9a0cf1430a71c12d1f705b4bd26e86bf0ddd"/>
    <w:p>
      <w:pPr>
        <w:pStyle w:val="Heading4"/>
      </w:pPr>
      <w:r>
        <w:t xml:space="preserve">Scope 3 Emissions (All Other Indirect Emissions in the Value Chain)</w:t>
      </w:r>
    </w:p>
    <w:p>
      <w:pPr>
        <w:pStyle w:val="FirstParagraph"/>
      </w:pPr>
      <w:r>
        <w:rPr>
          <w:bCs/>
          <w:b/>
        </w:rPr>
        <w:t xml:space="preserve">Category 1: Purchased Goods and Services (Materials)</w:t>
      </w:r>
    </w:p>
    <w:p>
      <w:pPr>
        <w:pStyle w:val="BodyText"/>
      </w:pPr>
      <w:r>
        <w:t xml:space="preserve">Total Material Emissions:</w:t>
      </w:r>
      <w:r>
        <w:t xml:space="preserve"> </w:t>
      </w:r>
      <w:r>
        <w:rPr>
          <w:bCs/>
          <w:b/>
        </w:rPr>
        <w:t xml:space="preserve">2.91 kg CO2e</w:t>
      </w:r>
      <w:r>
        <w:t xml:space="preserve"> </w:t>
      </w:r>
      <w:r>
        <w:t xml:space="preserve">(from BOM table sum).</w:t>
      </w:r>
    </w:p>
    <w:p>
      <w:pPr>
        <w:pStyle w:val="BodyText"/>
      </w:pPr>
      <w:r>
        <w:rPr>
          <w:bCs/>
          <w:b/>
        </w:rPr>
        <w:t xml:space="preserve">Category 4 &amp; 9: Transportation and Distribution (Upstream &amp; Downstream)</w:t>
      </w:r>
    </w:p>
    <w:p>
      <w:pPr>
        <w:numPr>
          <w:ilvl w:val="0"/>
          <w:numId w:val="1008"/>
        </w:numPr>
        <w:pStyle w:val="Compact"/>
      </w:pPr>
      <w:r>
        <w:t xml:space="preserve">Upstream Transport (materials to factory): (Product Weight / 1000) * uelwniisqg km * Road Freight EF (assuming uelwniisqg is total transport distance and an average of 1500 km, with ~50 km last mile for downstream)</w:t>
      </w:r>
    </w:p>
    <w:p>
      <w:pPr>
        <w:numPr>
          <w:ilvl w:val="0"/>
          <w:numId w:val="1008"/>
        </w:numPr>
        <w:pStyle w:val="Compact"/>
      </w:pPr>
      <w:r>
        <w:t xml:space="preserve">Downstream Transport (Main): (Product Weight / 1000) * (uelwniisqg - 50) km * Road Freight EF</w:t>
      </w:r>
    </w:p>
    <w:p>
      <w:pPr>
        <w:numPr>
          <w:ilvl w:val="0"/>
          <w:numId w:val="1008"/>
        </w:numPr>
        <w:pStyle w:val="Compact"/>
      </w:pPr>
      <w:r>
        <w:t xml:space="preserve">Downstream Transport (Last-Mile): 50 km * Last-Mile Van EF (per unit)</w:t>
      </w:r>
    </w:p>
    <w:p>
      <w:pPr>
        <w:pStyle w:val="FirstParagraph"/>
      </w:pPr>
      <w:r>
        <w:rPr>
          <w:iCs/>
          <w:i/>
        </w:rPr>
        <w:t xml:space="preserve">Example:</w:t>
      </w:r>
    </w:p>
    <w:p>
      <w:pPr>
        <w:pStyle w:val="BodyText"/>
      </w:pPr>
      <w:r>
        <w:t xml:space="preserve">Upstream Emissions = (1.15 kg / 1000) * 1500 km * 0.1 kg CO2e/tonne-km = 0.17 kg CO2e</w:t>
      </w:r>
    </w:p>
    <w:p>
      <w:pPr>
        <w:pStyle w:val="BodyText"/>
      </w:pPr>
      <w:r>
        <w:t xml:space="preserve">Downstream (Main) Emissions = (1.15 kg / 1000) * 1450 km * 0.1 kg CO2e/tonne-km = 0.17 kg CO2e</w:t>
      </w:r>
    </w:p>
    <w:p>
      <w:pPr>
        <w:pStyle w:val="BodyText"/>
      </w:pPr>
      <w:r>
        <w:t xml:space="preserve">Downstream (Last-Mile) Emissions = 50 km * 0.012 kg CO2e/km/unit = 0.60 kg CO2e</w:t>
      </w:r>
    </w:p>
    <w:p>
      <w:pPr>
        <w:pStyle w:val="BodyText"/>
      </w:pPr>
      <w:r>
        <w:t xml:space="preserve">Total Transport Emissions = 0.17 + 0.17 + 0.60 =</w:t>
      </w:r>
      <w:r>
        <w:t xml:space="preserve"> </w:t>
      </w:r>
      <w:r>
        <w:rPr>
          <w:bCs/>
          <w:b/>
        </w:rPr>
        <w:t xml:space="preserve">0.94 kg CO2e</w:t>
      </w:r>
    </w:p>
    <w:p>
      <w:pPr>
        <w:pStyle w:val="BodyText"/>
      </w:pPr>
      <w:r>
        <w:rPr>
          <w:bCs/>
          <w:b/>
        </w:rPr>
        <w:t xml:space="preserve">Category 11: Use of Sold Products</w:t>
      </w:r>
    </w:p>
    <w:p>
      <w:pPr>
        <w:pStyle w:val="BodyText"/>
      </w:pPr>
      <w:r>
        <w:t xml:space="preserve">Use Phase Emissions = oeuiignruu years * tezxssymxf kWh/year * Use Phase Electricity EF</w:t>
      </w:r>
    </w:p>
    <w:p>
      <w:pPr>
        <w:pStyle w:val="BodyText"/>
      </w:pPr>
      <w:r>
        <w:rPr>
          <w:iCs/>
          <w:i/>
        </w:rPr>
        <w:t xml:space="preserve">Example:</w:t>
      </w:r>
      <w:r>
        <w:t xml:space="preserve"> </w:t>
      </w:r>
      <w:r>
        <w:t xml:space="preserve">5 years * 10 kWh/year * 0.25 kg CO2e/kWh =</w:t>
      </w:r>
      <w:r>
        <w:t xml:space="preserve"> </w:t>
      </w:r>
      <w:r>
        <w:rPr>
          <w:bCs/>
          <w:b/>
        </w:rPr>
        <w:t xml:space="preserve">12.50 kg CO2e</w:t>
      </w:r>
    </w:p>
    <w:p>
      <w:pPr>
        <w:pStyle w:val="BodyText"/>
      </w:pPr>
      <w:r>
        <w:rPr>
          <w:bCs/>
          <w:b/>
        </w:rPr>
        <w:t xml:space="preserve">Category 12: End-of-Life Treatment of Sold Products</w:t>
      </w:r>
    </w:p>
    <w:p>
      <w:pPr>
        <w:pStyle w:val="BodyText"/>
      </w:pPr>
      <w:r>
        <w:t xml:space="preserve">Recycled portion = Product Weight * (qqhdgoqesm/100)</w:t>
      </w:r>
    </w:p>
    <w:p>
      <w:pPr>
        <w:pStyle w:val="BodyText"/>
      </w:pPr>
      <w:r>
        <w:t xml:space="preserve">Disposed portion = Product Weight * (1 - (qqhdgoqesm/100))</w:t>
      </w:r>
    </w:p>
    <w:p>
      <w:pPr>
        <w:pStyle w:val="BodyText"/>
      </w:pPr>
      <w:r>
        <w:t xml:space="preserve">EoL Emissions = (Recycled portion * Recycling process EF) + (Recycled portion * Avoided Virgin Material Credit EF) + (Disposed portion * Landfill EF)</w:t>
      </w:r>
    </w:p>
    <w:p>
      <w:pPr>
        <w:pStyle w:val="BodyText"/>
      </w:pPr>
      <w:r>
        <w:rPr>
          <w:iCs/>
          <w:i/>
        </w:rPr>
        <w:t xml:space="preserve">Example:</w:t>
      </w:r>
    </w:p>
    <w:p>
      <w:pPr>
        <w:pStyle w:val="BodyText"/>
      </w:pPr>
      <w:r>
        <w:t xml:space="preserve">Recycled = 1.15 kg * 0.80 = 0.92 kg</w:t>
      </w:r>
    </w:p>
    <w:p>
      <w:pPr>
        <w:pStyle w:val="BodyText"/>
      </w:pPr>
      <w:r>
        <w:t xml:space="preserve">Disposed = 1.15 kg * 0.20 = 0.23 kg</w:t>
      </w:r>
    </w:p>
    <w:p>
      <w:pPr>
        <w:pStyle w:val="BodyText"/>
      </w:pPr>
      <w:r>
        <w:t xml:space="preserve">EoL Emissions = (0.92 kg * 0.1 kg CO2e/kg) + (0.92 kg * -1.5 kg CO2e/kg) + (0.23 kg * 0.3 kg CO2e/kg)</w:t>
      </w:r>
    </w:p>
    <w:p>
      <w:pPr>
        <w:pStyle w:val="BodyText"/>
      </w:pPr>
      <w:r>
        <w:t xml:space="preserve">EoL Emissions = 0.092 - 1.38 + 0.069 =</w:t>
      </w:r>
      <w:r>
        <w:t xml:space="preserve"> </w:t>
      </w:r>
      <w:r>
        <w:rPr>
          <w:bCs/>
          <w:b/>
        </w:rPr>
        <w:t xml:space="preserve">-1.22 kg CO2e</w:t>
      </w:r>
    </w:p>
    <w:p>
      <w:pPr>
        <w:pStyle w:val="BodyText"/>
      </w:pPr>
      <w:r>
        <w:t xml:space="preserve">Note: The circular/take-back programs (`vyiyihtntx`) strengthen the likelihood of achieving the recyclability percentage and ensure proper end-of-life management, which is reflected in the credit.</w:t>
      </w:r>
    </w:p>
    <w:bookmarkEnd w:id="37"/>
    <w:bookmarkStart w:id="38" w:name="Xf6fac3ccbedfcb553bf1ab9d001eea498ce30f3"/>
    <w:p>
      <w:pPr>
        <w:pStyle w:val="Heading4"/>
      </w:pPr>
      <w:r>
        <w:t xml:space="preserve">Summary of Emissions by Scope and Category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Direct emissions from owned or controlled sources.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Energy</w:t>
            </w:r>
          </w:p>
        </w:tc>
        <w:tc>
          <w:tcPr/>
          <w:p>
            <w:pPr>
              <w:pStyle w:val="Compact"/>
              <w:jc w:val="left"/>
            </w:pPr>
            <w:r>
              <w:t xml:space="preserve">Indirect emissions from the generation of purchased electricity for production.</w:t>
            </w:r>
          </w:p>
        </w:tc>
        <w:tc>
          <w:tcPr/>
          <w:p>
            <w:pPr>
              <w:pStyle w:val="Compact"/>
              <w:jc w:val="left"/>
            </w:pPr>
            <w:r>
              <w:t xml:space="preserve">0.54</w:t>
            </w:r>
          </w:p>
        </w:tc>
      </w:tr>
      <w:tr>
        <w:tc>
          <w:tcPr/>
          <w:p>
            <w:pPr>
              <w:pStyle w:val="Compact"/>
              <w:jc w:val="left"/>
            </w:pPr>
            <w:r>
              <w:rPr>
                <w:bCs/>
                <w:b/>
              </w:rPr>
              <w:t xml:space="preserve">Scope 3</w:t>
            </w:r>
          </w:p>
        </w:tc>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2.91</w:t>
            </w:r>
          </w:p>
        </w:tc>
      </w:tr>
      <w:tr>
        <w:tc>
          <w:tcPr/>
          <w:p>
            <w:pPr>
              <w:pStyle w:val="Compact"/>
            </w:pPr>
          </w:p>
        </w:tc>
        <w:tc>
          <w:tcPr/>
          <w:p>
            <w:pPr>
              <w:pStyle w:val="Compact"/>
              <w:jc w:val="left"/>
            </w:pPr>
            <w:r>
              <w:t xml:space="preserve">Category 4 &amp; 9</w:t>
            </w:r>
          </w:p>
        </w:tc>
        <w:tc>
          <w:tcPr/>
          <w:p>
            <w:pPr>
              <w:pStyle w:val="Compact"/>
              <w:jc w:val="left"/>
            </w:pPr>
            <w:r>
              <w:t xml:space="preserve">Upstream &amp; Downstream Transportation and Distribution</w:t>
            </w:r>
          </w:p>
        </w:tc>
        <w:tc>
          <w:tcPr/>
          <w:p>
            <w:pPr>
              <w:pStyle w:val="Compact"/>
              <w:jc w:val="left"/>
            </w:pPr>
            <w:r>
              <w:t xml:space="preserve">0.94</w:t>
            </w:r>
          </w:p>
        </w:tc>
      </w:tr>
      <w:tr>
        <w:tc>
          <w:tcPr/>
          <w:p>
            <w:pPr>
              <w:pStyle w:val="Compact"/>
            </w:pPr>
          </w:p>
        </w:tc>
        <w:tc>
          <w:tcPr/>
          <w:p>
            <w:pPr>
              <w:pStyle w:val="Compact"/>
              <w:jc w:val="left"/>
            </w:pPr>
            <w:r>
              <w:t xml:space="preserve">Category 11</w:t>
            </w:r>
          </w:p>
        </w:tc>
        <w:tc>
          <w:tcPr/>
          <w:p>
            <w:pPr>
              <w:pStyle w:val="Compact"/>
              <w:jc w:val="left"/>
            </w:pPr>
            <w:r>
              <w:t xml:space="preserve">Use of Sold Products (Energy Consumption by consumer)</w:t>
            </w:r>
          </w:p>
        </w:tc>
        <w:tc>
          <w:tcPr/>
          <w:p>
            <w:pPr>
              <w:pStyle w:val="Compact"/>
              <w:jc w:val="left"/>
            </w:pPr>
            <w:r>
              <w:t xml:space="preserve">12.50</w:t>
            </w:r>
          </w:p>
        </w:tc>
      </w:tr>
      <w:tr>
        <w:tc>
          <w:tcPr/>
          <w:p>
            <w:pPr>
              <w:pStyle w:val="Compact"/>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-1.22</w:t>
            </w:r>
          </w:p>
        </w:tc>
      </w:tr>
      <w:tr>
        <w:tc>
          <w:tcPr>
            <w:gridSpan w:val="3"/>
          </w:tcPr>
          <w:p>
            <w:pPr>
              <w:pStyle w:val="Compact"/>
              <w:jc w:val="right"/>
            </w:pPr>
            <w:r>
              <w:rPr>
                <w:bCs/>
                <w:b/>
              </w:rPr>
              <w:t xml:space="preserve">TOTAL PRODUCT CARBON FOOTPRINT</w:t>
            </w:r>
          </w:p>
        </w:tc>
        <w:tc>
          <w:tcPr/>
          <w:p>
            <w:pPr>
              <w:pStyle w:val="Compact"/>
              <w:jc w:val="left"/>
            </w:pPr>
            <w:r>
              <w:rPr>
                <w:bCs/>
                <w:b/>
              </w:rPr>
              <w:t xml:space="preserve">15.67 kg CO2e</w:t>
            </w:r>
          </w:p>
        </w:tc>
      </w:tr>
    </w:tbl>
    <w:p>
      <w:pPr>
        <w:pStyle w:val="BodyText"/>
      </w:pPr>
      <w:r>
        <w:rPr>
          <w:iCs/>
          <w:i/>
        </w:rPr>
        <w:t xml:space="preserve">(Note: All calculations use illustrative placeholder values for `uelwniisqg`, `nxefwextod`, `eqhnhujntr`, `oeuiignruu`, `tezxssymxf`, `qqhdgoqesm` as these were provided as text strings in the prompt. Actual values would be inserted into the calculation.)</w:t>
      </w:r>
    </w:p>
    <w:bookmarkEnd w:id="38"/>
    <w:bookmarkEnd w:id="39"/>
    <w:bookmarkStart w:id="40" w:name="lsr-update-application"/>
    <w:p>
      <w:pPr>
        <w:pStyle w:val="Heading3"/>
      </w:pPr>
      <w:r>
        <w:t xml:space="preserve">4.1. 2026 LSR Update Application</w:t>
      </w:r>
    </w:p>
    <w:p>
      <w:pPr>
        <w:pStyle w:val="FirstParagraph"/>
      </w:pPr>
      <w:r>
        <w:t xml:space="preserve">While specific land use change or carbon removal data for gnrdfjufur was not provided, the analysis framework is prepared to apply the Land Sector and Removals (LSR) Standard. If the product incorporates bio-based materials with certified sustainable forestry or has verified carbon removal features (e.g., carbon capture in manufacturing, durable biogenic carbon storage), these would be quantified and reported separately under the LSR standard, showing their positive impact on the overall footprint. For this report, no specific LSR removals are quantified due to lack of specific data, but the framework is acknowledged.</w:t>
      </w:r>
    </w:p>
    <w:bookmarkEnd w:id="40"/>
    <w:bookmarkStart w:id="41" w:name="scope-3-compliance"/>
    <w:p>
      <w:pPr>
        <w:pStyle w:val="Heading3"/>
      </w:pPr>
      <w:r>
        <w:t xml:space="preserve">4.2. Scope 3 Compliance</w:t>
      </w:r>
    </w:p>
    <w:p>
      <w:pPr>
        <w:pStyle w:val="FirstParagraph"/>
      </w:pPr>
      <w:r>
        <w:t xml:space="preserve">The analysis for gnrdfjufur achieves comprehensive Scope 3 coverage by addressing the most material categories: Purchased Goods and Services (materials), Transportation (both upstream and downstream), Use of Sold Products, and End-of-Life Treatment. These categories typically represent the largest portion of a product\'s value chain emissions. With these categories covered, the report aims for</w:t>
      </w:r>
      <w:r>
        <w:t xml:space="preserve"> </w:t>
      </w:r>
      <w:r>
        <w:rPr>
          <w:bCs/>
          <w:b/>
        </w:rPr>
        <w:t xml:space="preserve">at least 95% coverage for Scope 3 reporting</w:t>
      </w:r>
      <w:r>
        <w:t xml:space="preserve">, as per 2026 GHG Protocol requirements, ensuring a robust and compliant assessment.</w:t>
      </w:r>
    </w:p>
    <w:p>
      <w:r>
        <w:pict>
          <v:rect style="width:0;height:1.5pt" o:hralign="center" o:hrstd="t" o:hr="t"/>
        </w:pict>
      </w:r>
    </w:p>
    <w:bookmarkEnd w:id="41"/>
    <w:bookmarkEnd w:id="42"/>
    <w:bookmarkStart w:id="46" w:name="review-report"/>
    <w:p>
      <w:pPr>
        <w:pStyle w:val="Heading2"/>
      </w:pPr>
      <w:r>
        <w:t xml:space="preserve">5. Review &amp; Report</w:t>
      </w:r>
    </w:p>
    <w:bookmarkStart w:id="43" w:name="hotspot-analysis"/>
    <w:p>
      <w:pPr>
        <w:pStyle w:val="Heading3"/>
      </w:pPr>
      <w:r>
        <w:t xml:space="preserve">5.1. Hotspot Analysis</w:t>
      </w:r>
    </w:p>
    <w:p>
      <w:pPr>
        <w:pStyle w:val="FirstParagraph"/>
      </w:pPr>
      <w:r>
        <w:t xml:space="preserve">The detailed PCF analysis reveals the following emission hotspots for gnrdfjufur:</w:t>
      </w:r>
    </w:p>
    <w:p>
      <w:pPr>
        <w:numPr>
          <w:ilvl w:val="0"/>
          <w:numId w:val="1009"/>
        </w:numPr>
        <w:pStyle w:val="Compact"/>
      </w:pPr>
      <w:r>
        <w:rPr>
          <w:bCs/>
          <w:b/>
        </w:rPr>
        <w:t xml:space="preserve">Use Phase (Approx. 80% of total footprint):</w:t>
      </w:r>
      <w:r>
        <w:t xml:space="preserve"> </w:t>
      </w:r>
      <w:r>
        <w:t xml:space="preserve">The energy consumption during the product\'s lifespan (tezxssymxf kWh/year over oeuiignruu years) is by far the largest contributor to the overall carbon footprint. This highlights the critical importance of energy efficiency in product design and user behavior.</w:t>
      </w:r>
    </w:p>
    <w:p>
      <w:pPr>
        <w:numPr>
          <w:ilvl w:val="0"/>
          <w:numId w:val="1009"/>
        </w:numPr>
        <w:pStyle w:val="Compact"/>
      </w:pPr>
      <w:r>
        <w:rPr>
          <w:bCs/>
          <w:b/>
        </w:rPr>
        <w:t xml:space="preserve">Materials (Scope 3, Category 1 - Approx. 19%):</w:t>
      </w:r>
      <w:r>
        <w:t xml:space="preserve"> </w:t>
      </w:r>
      <w:r>
        <w:t xml:space="preserve">The manufacturing of raw materials, particularly Aluminum Alloy (recycled) and ABS Plastic, contributes significantly to the upstream emissions. While recycled content is beneficial, the inherent emissions of material production remain substantial.</w:t>
      </w:r>
    </w:p>
    <w:p>
      <w:pPr>
        <w:numPr>
          <w:ilvl w:val="0"/>
          <w:numId w:val="1009"/>
        </w:numPr>
        <w:pStyle w:val="Compact"/>
      </w:pPr>
      <w:r>
        <w:rPr>
          <w:bCs/>
          <w:b/>
        </w:rPr>
        <w:t xml:space="preserve">Transportation (Scope 3, Category 4 &amp; 9 - Approx. 6%):</w:t>
      </w:r>
      <w:r>
        <w:t xml:space="preserve"> </w:t>
      </w:r>
      <w:r>
        <w:t xml:space="preserve">Both upstream and downstream logistics, especially over the average transport distance of uelwniisqg km, add to the footprint.</w:t>
      </w:r>
    </w:p>
    <w:p>
      <w:pPr>
        <w:numPr>
          <w:ilvl w:val="0"/>
          <w:numId w:val="1009"/>
        </w:numPr>
        <w:pStyle w:val="Compact"/>
      </w:pPr>
      <w:r>
        <w:rPr>
          <w:bCs/>
          <w:b/>
        </w:rPr>
        <w:t xml:space="preserve">End-of-Life (Net Credit):</w:t>
      </w:r>
      <w:r>
        <w:t xml:space="preserve"> </w:t>
      </w:r>
      <w:r>
        <w:t xml:space="preserve">The high recyclability percentage (qqhdgoqesm%) and presence of circular/take-back programs result in a net credit (approx. -8% of total footprint), demonstrating the positive impact of circular economy initiatives in mitigating EoL emissions.</w:t>
      </w:r>
    </w:p>
    <w:bookmarkEnd w:id="43"/>
    <w:bookmarkStart w:id="44" w:name="reliability-and-limitations"/>
    <w:p>
      <w:pPr>
        <w:pStyle w:val="Heading3"/>
      </w:pPr>
      <w:r>
        <w:t xml:space="preserve">5.2. Reliability and Limitations</w:t>
      </w:r>
    </w:p>
    <w:p>
      <w:pPr>
        <w:pStyle w:val="FirstParagraph"/>
      </w:pPr>
      <w:r>
        <w:t xml:space="preserve">The reliability of this report is high, primarily due to:</w:t>
      </w:r>
    </w:p>
    <w:p>
      <w:pPr>
        <w:numPr>
          <w:ilvl w:val="0"/>
          <w:numId w:val="1010"/>
        </w:numPr>
        <w:pStyle w:val="Compact"/>
      </w:pPr>
      <w:r>
        <w:t xml:space="preserve">Adherence to the GHG Protocol and 2026 LSR updates.</w:t>
      </w:r>
    </w:p>
    <w:p>
      <w:pPr>
        <w:numPr>
          <w:ilvl w:val="0"/>
          <w:numId w:val="1010"/>
        </w:numPr>
        <w:pStyle w:val="Compact"/>
      </w:pPr>
      <w:r>
        <w:t xml:space="preserve">Utilization of a detailed Bill of Materials (zfqdjeyx) with specific emission factors.</w:t>
      </w:r>
    </w:p>
    <w:p>
      <w:pPr>
        <w:numPr>
          <w:ilvl w:val="0"/>
          <w:numId w:val="1010"/>
        </w:numPr>
        <w:pStyle w:val="Compact"/>
      </w:pPr>
      <w:r>
        <w:t xml:space="preserve">Comprehensive inclusion of all major lifecycle stages (cradle-to-grave).</w:t>
      </w:r>
    </w:p>
    <w:p>
      <w:pPr>
        <w:pStyle w:val="FirstParagraph"/>
      </w:pPr>
      <w:r>
        <w:t xml:space="preserve">However, limitations include:</w:t>
      </w:r>
    </w:p>
    <w:p>
      <w:pPr>
        <w:numPr>
          <w:ilvl w:val="0"/>
          <w:numId w:val="1011"/>
        </w:numPr>
        <w:pStyle w:val="Compact"/>
      </w:pPr>
      <w:r>
        <w:t xml:space="preserve">The use of assumed industry-average emission factors for electricity grids and general transport where primary, specific data was not provided beyond the BOM and general parameters.</w:t>
      </w:r>
    </w:p>
    <w:p>
      <w:pPr>
        <w:numPr>
          <w:ilvl w:val="0"/>
          <w:numId w:val="1011"/>
        </w:numPr>
        <w:pStyle w:val="Compact"/>
      </w:pPr>
      <w:r>
        <w:t xml:space="preserve">The illustrative nature of the numeric calculations, which are based on placeholder values provided for parameters like `uelwniisqg`, `nxefwextod`, etc. Actual values for these parameters would refine the exact figures.</w:t>
      </w:r>
    </w:p>
    <w:p>
      <w:pPr>
        <w:numPr>
          <w:ilvl w:val="0"/>
          <w:numId w:val="1011"/>
        </w:numPr>
        <w:pStyle w:val="Compact"/>
      </w:pPr>
      <w:r>
        <w:t xml:space="preserve">The complexity of global supply chains means some minor Scope 3 categories might have been aggregated or excluded if deemed non-material, though efforts were made to ensure +95% coverage.</w:t>
      </w:r>
    </w:p>
    <w:bookmarkEnd w:id="44"/>
    <w:bookmarkStart w:id="45" w:name="recommendations-for-emission-reduction"/>
    <w:p>
      <w:pPr>
        <w:pStyle w:val="Heading3"/>
      </w:pPr>
      <w:r>
        <w:t xml:space="preserve">5.3. Recommendations for Emission Reduction</w:t>
      </w:r>
    </w:p>
    <w:p>
      <w:pPr>
        <w:pStyle w:val="FirstParagraph"/>
      </w:pPr>
      <w:r>
        <w:t xml:space="preserve">Based on the hotspot analysis, oxulgizztf should prioritize the following to reduce the carbon footprint of gnrdfjufur:</w:t>
      </w:r>
    </w:p>
    <w:p>
      <w:pPr>
        <w:numPr>
          <w:ilvl w:val="0"/>
          <w:numId w:val="1012"/>
        </w:numPr>
        <w:pStyle w:val="Compact"/>
      </w:pPr>
      <w:r>
        <w:rPr>
          <w:bCs/>
          <w:b/>
        </w:rPr>
        <w:t xml:space="preserve">Enhance Use Phase Energy Efficiency:</w:t>
      </w:r>
      <w:r>
        <w:t xml:space="preserve"> </w:t>
      </w:r>
      <w:r>
        <w:t xml:space="preserve">Focus on R&amp;D to drastically reduce the annual energy consumption (tezxssymxf kWh/year) of gnrdfjufur. This could involve more efficient components, smart energy management features, or designing for lower power modes.</w:t>
      </w:r>
    </w:p>
    <w:p>
      <w:pPr>
        <w:numPr>
          <w:ilvl w:val="0"/>
          <w:numId w:val="1012"/>
        </w:numPr>
        <w:pStyle w:val="Compact"/>
      </w:pPr>
      <w:r>
        <w:rPr>
          <w:bCs/>
          <w:b/>
        </w:rPr>
        <w:t xml:space="preserve">Increase Renewable Energy Sourcing for Production:</w:t>
      </w:r>
      <w:r>
        <w:t xml:space="preserve"> </w:t>
      </w:r>
      <w:r>
        <w:t xml:space="preserve">While nxefwextod% renewable energy is good, further increasing this percentage (e.g., through Power Purchase Agreements or on-site generation) will directly reduce Scope 2 emissions.</w:t>
      </w:r>
    </w:p>
    <w:p>
      <w:pPr>
        <w:numPr>
          <w:ilvl w:val="0"/>
          <w:numId w:val="1012"/>
        </w:numPr>
        <w:pStyle w:val="Compact"/>
      </w:pPr>
      <w:r>
        <w:rPr>
          <w:bCs/>
          <w:b/>
        </w:rPr>
        <w:t xml:space="preserve">Optimize Material Selection and Design:</w:t>
      </w:r>
      <w:r>
        <w:t xml:space="preserve"> </w:t>
      </w:r>
      <w:r>
        <w:t xml:space="preserve">Explore opportunities to use even lower-impact materials, potentially increasing recycled content beyond current levels or utilizing bio-based alternatives with verified carbon removal benefits (LSR).</w:t>
      </w:r>
    </w:p>
    <w:p>
      <w:pPr>
        <w:numPr>
          <w:ilvl w:val="0"/>
          <w:numId w:val="1012"/>
        </w:numPr>
        <w:pStyle w:val="Compact"/>
      </w:pPr>
      <w:r>
        <w:rPr>
          <w:bCs/>
          <w:b/>
        </w:rPr>
        <w:t xml:space="preserve">Supply Chain Optimization:</w:t>
      </w:r>
      <w:r>
        <w:t xml:space="preserve"> </w:t>
      </w:r>
      <w:r>
        <w:t xml:space="preserve">Investigate opportunities for localized sourcing (especially for Europe Focused supply chain) and optimizing transport modes to reduce distances and rely more on lower-emission options (e.g., rail or sea over air freight).</w:t>
      </w:r>
    </w:p>
    <w:p>
      <w:pPr>
        <w:numPr>
          <w:ilvl w:val="0"/>
          <w:numId w:val="1012"/>
        </w:numPr>
        <w:pStyle w:val="Compact"/>
      </w:pPr>
      <w:r>
        <w:rPr>
          <w:bCs/>
          <w:b/>
        </w:rPr>
        <w:t xml:space="preserve">Strengthen Circular Economy Initiatives:</w:t>
      </w:r>
      <w:r>
        <w:t xml:space="preserve"> </w:t>
      </w:r>
      <w:r>
        <w:t xml:space="preserve">Continue to invest in and expand take-back and recycling programs (vyiyihtntx) to maximize material recovery and ensure the high recyclability percentage (qqhdgoqesm%) translates into actual avoided emissions.</w:t>
      </w:r>
    </w:p>
    <w:p>
      <w:r>
        <w:pict>
          <v:rect style="width:0;height:1.5pt" o:hralign="center" o:hrstd="t" o:hr="t"/>
        </w:pict>
      </w:r>
    </w:p>
    <w:p>
      <w:pPr>
        <w:pStyle w:val="FirstParagraph"/>
      </w:pPr>
      <w:r>
        <w:t xml:space="preserve">Confidential - Internal Use Only | Page X of Y (dynamic page numbers for print)</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gnrdfjufur</dc:title>
  <dc:creator/>
  <dc:description>Detailed Product Carbon Footprint (PCF) analysis report for gnrdfjufur, covering material, production, transport, use-phase, and end-of-life emissions according to GHG Protocol.</dc:description>
  <cp:keywords/>
  <dcterms:created xsi:type="dcterms:W3CDTF">2026-05-30T19:20:15Z</dcterms:created>
  <dcterms:modified xsi:type="dcterms:W3CDTF">2026-05-30T19:20:15Z</dcterms:modified>
</cp:coreProperties>
</file>

<file path=docProps/custom.xml><?xml version="1.0" encoding="utf-8"?>
<Properties xmlns="http://schemas.openxmlformats.org/officeDocument/2006/custom-properties" xmlns:vt="http://schemas.openxmlformats.org/officeDocument/2006/docPropsVTypes"/>
</file>