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gnqtifoutj</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gnqtifoutj"/>
    <w:p>
      <w:pPr>
        <w:pStyle w:val="Heading2"/>
      </w:pPr>
      <w:r>
        <w:t xml:space="preserve">For Product: gnqtifoutj</w:t>
      </w:r>
    </w:p>
    <w:p>
      <w:pPr>
        <w:pStyle w:val="FirstParagraph"/>
      </w:pPr>
      <w:r>
        <w:rPr>
          <w:bCs/>
          <w:b/>
        </w:rPr>
        <w:t xml:space="preserve">Company Name:</w:t>
      </w:r>
      <w:r>
        <w:t xml:space="preserve"> </w:t>
      </w:r>
      <w:r>
        <w:t xml:space="preserve">vuqmnwhxmp</w:t>
      </w:r>
    </w:p>
    <w:p>
      <w:pPr>
        <w:pStyle w:val="BodyText"/>
      </w:pPr>
      <w:r>
        <w:rPr>
          <w:bCs/>
          <w:b/>
        </w:rPr>
        <w:t xml:space="preserve">Senior Sustainability Consultant:</w:t>
      </w:r>
      <w:r>
        <w:t xml:space="preserve"> </w:t>
      </w:r>
      <w:r>
        <w:t xml:space="preserve">rrsxfltwok</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based on specific operational details and evolving data sources.</w:t>
      </w:r>
    </w:p>
    <w:bookmarkEnd w:id="20"/>
    <w:bookmarkEnd w:id="21"/>
    <w:p>
      <w:pPr>
        <w:pStyle w:val="BodyText"/>
      </w:pPr>
      <w:r>
        <w:t xml:space="preserve">Generated Date: May 17, 2026</w:t>
      </w:r>
    </w:p>
    <w:bookmarkStart w:id="22" w:name="executive-summary"/>
    <w:p>
      <w:pPr>
        <w:pStyle w:val="Heading1"/>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gnqtifoutj</w:t>
      </w:r>
      <w:r>
        <w:t xml:space="preserve"> </w:t>
      </w:r>
      <w:r>
        <w:t xml:space="preserve">manufactured by</w:t>
      </w:r>
      <w:r>
        <w:t xml:space="preserve"> </w:t>
      </w:r>
      <w:r>
        <w:rPr>
          <w:bCs/>
          <w:b/>
        </w:rPr>
        <w:t xml:space="preserve">vuqmnwhxmp</w:t>
      </w:r>
      <w:r>
        <w:t xml:space="preserve">. Conducted by Senior Sustainability Consultant</w:t>
      </w:r>
      <w:r>
        <w:t xml:space="preserve"> </w:t>
      </w:r>
      <w:r>
        <w:rPr>
          <w:bCs/>
          <w:b/>
        </w:rPr>
        <w:t xml:space="preserve">rrsxfltwok</w:t>
      </w:r>
      <w:r>
        <w:t xml:space="preserve">, this analysis adheres strictly to the GHG Protocol accounting standard, incorporating the 2026 Land Sector and Removals (LSR) update and aiming for at least 95% Scope 3 coverage. The primary objective is to quantify the greenhouse gas (GHG) emissions associated with the entire lifecycle of one functional unit of gnqtifoutj, from raw material extraction to end-of-life, identifying hotspots and providing actionable insights for emission reduction.</w:t>
      </w:r>
    </w:p>
    <w:p>
      <w:r>
        <w:pict>
          <v:rect style="width:0;height:1.5pt" o:hralign="center" o:hrstd="t" o:hr="t"/>
        </w:pict>
      </w:r>
    </w:p>
    <w:bookmarkEnd w:id="22"/>
    <w:bookmarkStart w:id="34" w:name="methodology"/>
    <w:p>
      <w:pPr>
        <w:pStyle w:val="Heading1"/>
      </w:pPr>
      <w:r>
        <w:t xml:space="preserve">2. Methodology</w:t>
      </w:r>
    </w:p>
    <w:p>
      <w:pPr>
        <w:pStyle w:val="FirstParagraph"/>
      </w:pPr>
      <w:r>
        <w:t xml:space="preserve">The Product Carbon Footprint (PCF) analysis for gnqtifoutj follows the five-step methodology as outlined below, in alignment with the GHG Protocol Product Standard.</w:t>
      </w:r>
    </w:p>
    <w:bookmarkStart w:id="23" w:name="define-scope"/>
    <w:p>
      <w:pPr>
        <w:pStyle w:val="Heading2"/>
      </w:pPr>
      <w:r>
        <w:t xml:space="preserve">2.1. Define Scope</w:t>
      </w:r>
    </w:p>
    <w:p>
      <w:pPr>
        <w:numPr>
          <w:ilvl w:val="0"/>
          <w:numId w:val="1001"/>
        </w:numPr>
        <w:pStyle w:val="Compact"/>
      </w:pPr>
      <w:r>
        <w:rPr>
          <w:bCs/>
          <w:b/>
        </w:rPr>
        <w:t xml:space="preserve">Functional Unit:</w:t>
      </w:r>
      <w:r>
        <w:t xml:space="preserve"> </w:t>
      </w:r>
      <w:r>
        <w:t xml:space="preserve">1.0 unit of gnqtifoutj. This serves as the reference flow to which all inputs and outputs are related, ensuring a consistent basis for comparison.</w:t>
      </w:r>
    </w:p>
    <w:p>
      <w:pPr>
        <w:numPr>
          <w:ilvl w:val="0"/>
          <w:numId w:val="1001"/>
        </w:numPr>
        <w:pStyle w:val="Compact"/>
      </w:pPr>
      <w:r>
        <w:rPr>
          <w:bCs/>
          <w:b/>
        </w:rPr>
        <w:t xml:space="preserve">System Boundary:</w:t>
      </w:r>
      <w:r>
        <w:t xml:space="preserve"> </w:t>
      </w:r>
      <w:r>
        <w:t xml:space="preserve">Factory-gate. This boundary encompasses all processes from raw material acquisition and pre-processing up to the point the finished product leaves the factory gate, including manufacturing and direct factory operations. This analysis further extends to cover the use phase and end-of-life, providing a more comprehensive cradle-to-grave perspective.</w:t>
      </w:r>
    </w:p>
    <w:p>
      <w:pPr>
        <w:numPr>
          <w:ilvl w:val="0"/>
          <w:numId w:val="1001"/>
        </w:numPr>
        <w:pStyle w:val="Compact"/>
      </w:pPr>
      <w:r>
        <w:rPr>
          <w:bCs/>
          <w:b/>
        </w:rPr>
        <w:t xml:space="preserve">Geographic Scope:</w:t>
      </w:r>
      <w:r>
        <w:t xml:space="preserve"> </w:t>
      </w:r>
      <w:r>
        <w:t xml:space="preserve">The final production country is China, with a specific focus on the supply chain primarily originating from and traversing through Europe. This dual focus helps capture regional variations in emission factors and energy mixes.</w:t>
      </w:r>
    </w:p>
    <w:p>
      <w:pPr>
        <w:numPr>
          <w:ilvl w:val="0"/>
          <w:numId w:val="1001"/>
        </w:numPr>
        <w:pStyle w:val="Compact"/>
      </w:pPr>
      <w:r>
        <w:rPr>
          <w:bCs/>
          <w:b/>
        </w:rPr>
        <w:t xml:space="preserve">Allocation:</w:t>
      </w:r>
      <w:r>
        <w:t xml:space="preserve"> </w:t>
      </w:r>
      <w:r>
        <w:t xml:space="preserve">Where co-products or by-products exist, emissions are allocated based on established GHG Protocol principles, typically using physical relationships (e.g., mass) or economic value where appropriate. For this report, simplified allocation is assumed for illustrative purposes.</w:t>
      </w:r>
    </w:p>
    <w:bookmarkEnd w:id="23"/>
    <w:bookmarkStart w:id="24" w:name="map-lifecycle-lci-inventory-stages"/>
    <w:p>
      <w:pPr>
        <w:pStyle w:val="Heading2"/>
      </w:pPr>
      <w:r>
        <w:t xml:space="preserve">2.2. Map Lifecycle (LCI Inventory Stages)</w:t>
      </w:r>
    </w:p>
    <w:p>
      <w:pPr>
        <w:pStyle w:val="FirstParagraph"/>
      </w:pPr>
      <w:r>
        <w:t xml:space="preserve">The lifecycle of gnqtifoutj is mapped across the following stages to gather relevant Life Cycle Inventory (LCI) data:</w:t>
      </w:r>
    </w:p>
    <w:p>
      <w:pPr>
        <w:numPr>
          <w:ilvl w:val="0"/>
          <w:numId w:val="1002"/>
        </w:numPr>
        <w:pStyle w:val="Compact"/>
      </w:pPr>
      <w:r>
        <w:rPr>
          <w:bCs/>
          <w:b/>
        </w:rPr>
        <w:t xml:space="preserve">Raw Material Acquisition &amp; Pre-processing:</w:t>
      </w:r>
      <w:r>
        <w:t xml:space="preserve"> </w:t>
      </w:r>
      <w:r>
        <w:t xml:space="preserve">Extraction, processing, and refining of materials specified in the Detailed Bill of Materials (BOM).</w:t>
      </w:r>
    </w:p>
    <w:p>
      <w:pPr>
        <w:numPr>
          <w:ilvl w:val="0"/>
          <w:numId w:val="1002"/>
        </w:numPr>
        <w:pStyle w:val="Compact"/>
      </w:pPr>
      <w:r>
        <w:rPr>
          <w:bCs/>
          <w:b/>
        </w:rPr>
        <w:t xml:space="preserve">Manufacturing / Production:</w:t>
      </w:r>
      <w:r>
        <w:t xml:space="preserve"> </w:t>
      </w:r>
      <w:r>
        <w:t xml:space="preserve">All factory processes, including energy consumption, direct emissions (Scope 1), and purchased electricity (Scope 2) at the vuqmnwhxmp facility in China.</w:t>
      </w:r>
    </w:p>
    <w:p>
      <w:pPr>
        <w:numPr>
          <w:ilvl w:val="0"/>
          <w:numId w:val="1002"/>
        </w:numPr>
        <w:pStyle w:val="Compact"/>
      </w:pPr>
      <w:r>
        <w:rPr>
          <w:bCs/>
          <w:b/>
        </w:rPr>
        <w:t xml:space="preserve">Transport &amp; Distribution:</w:t>
      </w:r>
      <w:r>
        <w:t xml:space="preserve"> </w:t>
      </w:r>
      <w:r>
        <w:t xml:space="preserve">Transportation of raw materials and components from European suppliers to the manufacturing plant in China, and subsequently the distribution of the finished product to the market.</w:t>
      </w:r>
    </w:p>
    <w:p>
      <w:pPr>
        <w:numPr>
          <w:ilvl w:val="0"/>
          <w:numId w:val="1002"/>
        </w:numPr>
        <w:pStyle w:val="Compact"/>
      </w:pPr>
      <w:r>
        <w:rPr>
          <w:bCs/>
          <w:b/>
        </w:rPr>
        <w:t xml:space="preserve">Use Phase:</w:t>
      </w:r>
      <w:r>
        <w:t xml:space="preserve"> </w:t>
      </w:r>
      <w:r>
        <w:t xml:space="preserve">Energy consumption and other impacts associated with the product during its operational lifespan.</w:t>
      </w:r>
    </w:p>
    <w:p>
      <w:pPr>
        <w:numPr>
          <w:ilvl w:val="0"/>
          <w:numId w:val="1002"/>
        </w:numPr>
        <w:pStyle w:val="Compact"/>
      </w:pPr>
      <w:r>
        <w:rPr>
          <w:bCs/>
          <w:b/>
        </w:rPr>
        <w:t xml:space="preserve">End-of-Life (EoL):</w:t>
      </w:r>
      <w:r>
        <w:t xml:space="preserve"> </w:t>
      </w:r>
      <w:r>
        <w:t xml:space="preserve">Disposal, recycling, or recovery processes at the end of the product\'s lifespan.</w:t>
      </w:r>
    </w:p>
    <w:bookmarkEnd w:id="24"/>
    <w:bookmarkStart w:id="27" w:name="collect-data"/>
    <w:p>
      <w:pPr>
        <w:pStyle w:val="Heading2"/>
      </w:pPr>
      <w:r>
        <w:t xml:space="preserve">2.3. Collect Data</w:t>
      </w:r>
    </w:p>
    <w:p>
      <w:pPr>
        <w:pStyle w:val="FirstParagraph"/>
      </w:pPr>
      <w:r>
        <w:t xml:space="preserve">Data collection involved gathering both primary and secondary data points relevant to each lifecycle stage:</w:t>
      </w:r>
    </w:p>
    <w:p>
      <w:pPr>
        <w:numPr>
          <w:ilvl w:val="0"/>
          <w:numId w:val="1003"/>
        </w:numPr>
        <w:pStyle w:val="Compact"/>
      </w:pPr>
      <w:r>
        <w:rPr>
          <w:bCs/>
          <w:b/>
        </w:rPr>
        <w:t xml:space="preserve">Primary Data:</w:t>
      </w:r>
      <w:r>
        <w:t xml:space="preserve"> </w:t>
      </w:r>
      <w:r>
        <w:t xml:space="preserve">Specific operational data from vuqmnwhxmp, including the Detailed Bill of Materials (BOM), renewable energy usage, and energy intensity.</w:t>
      </w:r>
    </w:p>
    <w:p>
      <w:pPr>
        <w:numPr>
          <w:ilvl w:val="0"/>
          <w:numId w:val="1003"/>
        </w:numPr>
        <w:pStyle w:val="Compact"/>
      </w:pPr>
      <w:r>
        <w:rPr>
          <w:bCs/>
          <w:b/>
        </w:rPr>
        <w:t xml:space="preserve">Secondary Data:</w:t>
      </w:r>
      <w:r>
        <w:t xml:space="preserve"> </w:t>
      </w:r>
      <w:r>
        <w:t xml:space="preserve">Industry-standard emission factors and generic process data, primarily from reputable databases (e.g., Ecoinvent, DEFRA), used for processes where primary data was unavailable or for background processes.</w:t>
      </w:r>
    </w:p>
    <w:bookmarkStart w:id="25" w:name="Xc4370da3874b004f63cafd0952402b45b42e2df"/>
    <w:p>
      <w:pPr>
        <w:pStyle w:val="Heading3"/>
      </w:pPr>
      <w:r>
        <w:t xml:space="preserve">2.3.1. Detailed Bill of Materials (BOM) for gnqtifoutj</w:t>
      </w:r>
    </w:p>
    <w:p>
      <w:pPr>
        <w:pStyle w:val="FirstParagraph"/>
      </w:pPr>
      <w:r>
        <w:t xml:space="preserve">The following detailed BOM data (as provided by ytgvjlyt)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Component A</w:t>
            </w:r>
          </w:p>
        </w:tc>
        <w:tc>
          <w:tcPr/>
          <w:p>
            <w:pPr>
              <w:pStyle w:val="Compact"/>
              <w:jc w:val="left"/>
            </w:pPr>
            <w:r>
              <w:t xml:space="preserve">Metals</w:t>
            </w:r>
          </w:p>
        </w:tc>
        <w:tc>
          <w:tcPr/>
          <w:p>
            <w:pPr>
              <w:pStyle w:val="Compact"/>
              <w:jc w:val="left"/>
            </w:pPr>
            <w:r>
              <w:t xml:space="preserve">Primary Production, Blast Furnace</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M002</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Virgin HDPE Production</w:t>
            </w:r>
          </w:p>
        </w:tc>
        <w:tc>
          <w:tcPr/>
          <w:p>
            <w:pPr>
              <w:pStyle w:val="Compact"/>
              <w:jc w:val="left"/>
            </w:pPr>
            <w:r>
              <w:t xml:space="preserve">1.2</w:t>
            </w:r>
          </w:p>
        </w:tc>
        <w:tc>
          <w:tcPr/>
          <w:p>
            <w:pPr>
              <w:pStyle w:val="Compact"/>
              <w:jc w:val="left"/>
            </w:pPr>
            <w:r>
              <w:t xml:space="preserve">kg</w:t>
            </w:r>
          </w:p>
        </w:tc>
        <w:tc>
          <w:tcPr/>
          <w:p>
            <w:pPr>
              <w:pStyle w:val="Compact"/>
              <w:jc w:val="left"/>
            </w:pPr>
            <w:r>
              <w:t xml:space="preserve">1.9</w:t>
            </w:r>
          </w:p>
        </w:tc>
        <w:tc>
          <w:tcPr/>
          <w:p>
            <w:pPr>
              <w:pStyle w:val="Compact"/>
              <w:jc w:val="left"/>
            </w:pPr>
            <w:r>
              <w:t xml:space="preserve">2.28</w:t>
            </w:r>
          </w:p>
        </w:tc>
      </w:tr>
      <w:tr>
        <w:tc>
          <w:tcPr/>
          <w:p>
            <w:pPr>
              <w:pStyle w:val="Compact"/>
              <w:jc w:val="left"/>
            </w:pPr>
            <w:r>
              <w:t xml:space="preserve">M003</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Chip Fabrication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0.05</w:t>
            </w:r>
          </w:p>
        </w:tc>
        <w:tc>
          <w:tcPr/>
          <w:p>
            <w:pPr>
              <w:pStyle w:val="Compact"/>
              <w:jc w:val="left"/>
            </w:pPr>
            <w:r>
              <w:t xml:space="preserve">0.5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Primary Copper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Aluminium Heat Sink</w:t>
            </w:r>
          </w:p>
        </w:tc>
        <w:tc>
          <w:tcPr/>
          <w:p>
            <w:pPr>
              <w:pStyle w:val="Compact"/>
              <w:jc w:val="left"/>
            </w:pPr>
            <w:r>
              <w:t xml:space="preserve">Metals</w:t>
            </w:r>
          </w:p>
        </w:tc>
        <w:tc>
          <w:tcPr/>
          <w:p>
            <w:pPr>
              <w:pStyle w:val="Compact"/>
              <w:jc w:val="left"/>
            </w:pPr>
            <w:r>
              <w:t xml:space="preserve">Primary Aluminium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r>
        <w:tc>
          <w:tcPr>
            <w:gridSpan w:val="7"/>
          </w:tcPr>
          <w:p>
            <w:pPr>
              <w:pStyle w:val="Compact"/>
              <w:jc w:val="right"/>
            </w:pPr>
            <w:r>
              <w:t xml:space="preserve">Subtotal Material Carbon Footprint:</w:t>
            </w:r>
          </w:p>
        </w:tc>
        <w:tc>
          <w:tcPr/>
          <w:p>
            <w:pPr>
              <w:pStyle w:val="Compact"/>
              <w:jc w:val="left"/>
            </w:pPr>
            <w:r>
              <w:t xml:space="preserve">20.53</w:t>
            </w:r>
          </w:p>
        </w:tc>
      </w:tr>
    </w:tbl>
    <w:bookmarkEnd w:id="25"/>
    <w:bookmarkStart w:id="26" w:name="energy-logistics-data"/>
    <w:p>
      <w:pPr>
        <w:pStyle w:val="Heading3"/>
      </w:pPr>
      <w:r>
        <w:t xml:space="preserve">2.3.2. Energy &amp; Logistics Data</w:t>
      </w:r>
    </w:p>
    <w:p>
      <w:pPr>
        <w:numPr>
          <w:ilvl w:val="0"/>
          <w:numId w:val="1004"/>
        </w:numPr>
        <w:pStyle w:val="Compact"/>
      </w:pPr>
      <w:r>
        <w:rPr>
          <w:bCs/>
          <w:b/>
        </w:rPr>
        <w:t xml:space="preserve">Production Energy Intensity:</w:t>
      </w:r>
      <w:r>
        <w:t xml:space="preserve"> </w:t>
      </w:r>
      <w:r>
        <w:t xml:space="preserve">vsqmqpnljw kWh/unit (Assumed: 15 kWh/unit)</w:t>
      </w:r>
    </w:p>
    <w:p>
      <w:pPr>
        <w:numPr>
          <w:ilvl w:val="0"/>
          <w:numId w:val="1004"/>
        </w:numPr>
        <w:pStyle w:val="Compact"/>
      </w:pPr>
      <w:r>
        <w:rPr>
          <w:bCs/>
          <w:b/>
        </w:rPr>
        <w:t xml:space="preserve">Renewable Energy Usage (Production):</w:t>
      </w:r>
      <w:r>
        <w:t xml:space="preserve"> </w:t>
      </w:r>
      <w:r>
        <w:t xml:space="preserve">ruftvowzpm (Assumed: 75% Renewable)</w:t>
      </w:r>
    </w:p>
    <w:p>
      <w:pPr>
        <w:numPr>
          <w:ilvl w:val="0"/>
          <w:numId w:val="1004"/>
        </w:numPr>
        <w:pStyle w:val="Compact"/>
      </w:pPr>
      <w:r>
        <w:rPr>
          <w:bCs/>
          <w:b/>
        </w:rPr>
        <w:t xml:space="preserve">Transport Mode (Inbound Supply Chain - Europe to China):</w:t>
      </w:r>
      <w:r>
        <w:t xml:space="preserve"> </w:t>
      </w:r>
      <w:r>
        <w:t xml:space="preserve">Select Mode (Assumed: Ocean Freight - Container Ship)</w:t>
      </w:r>
    </w:p>
    <w:p>
      <w:pPr>
        <w:numPr>
          <w:ilvl w:val="0"/>
          <w:numId w:val="1004"/>
        </w:numPr>
        <w:pStyle w:val="Compact"/>
      </w:pPr>
      <w:r>
        <w:rPr>
          <w:bCs/>
          <w:b/>
        </w:rPr>
        <w:t xml:space="preserve">Transport Distance (Inbound):</w:t>
      </w:r>
      <w:r>
        <w:t xml:space="preserve"> </w:t>
      </w:r>
      <w:r>
        <w:t xml:space="preserve">ekqziynuzf (Assumed: 5000 km for primary components)</w:t>
      </w:r>
    </w:p>
    <w:p>
      <w:pPr>
        <w:numPr>
          <w:ilvl w:val="0"/>
          <w:numId w:val="1004"/>
        </w:numPr>
        <w:pStyle w:val="Compact"/>
      </w:pPr>
      <w:r>
        <w:rPr>
          <w:bCs/>
          <w:b/>
        </w:rPr>
        <w:t xml:space="preserve">Last-Mile Delivery Channel (Outbound):</w:t>
      </w:r>
      <w:r>
        <w:t xml:space="preserve"> </w:t>
      </w:r>
      <w:r>
        <w:t xml:space="preserve">Delivery Type (Assumed: Light Commercial Vehicle (LCV))</w:t>
      </w:r>
    </w:p>
    <w:p>
      <w:pPr>
        <w:numPr>
          <w:ilvl w:val="0"/>
          <w:numId w:val="1004"/>
        </w:numPr>
        <w:pStyle w:val="Compact"/>
      </w:pPr>
      <w:r>
        <w:rPr>
          <w:bCs/>
          <w:b/>
        </w:rPr>
        <w:t xml:space="preserve">Product Lifespan:</w:t>
      </w:r>
      <w:r>
        <w:t xml:space="preserve"> </w:t>
      </w:r>
      <w:r>
        <w:t xml:space="preserve">wnlfzfzxxy (Assumed: 7 years)</w:t>
      </w:r>
    </w:p>
    <w:p>
      <w:pPr>
        <w:numPr>
          <w:ilvl w:val="0"/>
          <w:numId w:val="1004"/>
        </w:numPr>
        <w:pStyle w:val="Compact"/>
      </w:pPr>
      <w:r>
        <w:rPr>
          <w:bCs/>
          <w:b/>
        </w:rPr>
        <w:t xml:space="preserve">Energy Consumption in Use:</w:t>
      </w:r>
      <w:r>
        <w:t xml:space="preserve"> </w:t>
      </w:r>
      <w:r>
        <w:t xml:space="preserve">jvhsodiehp (Assumed: 5 kWh/year)</w:t>
      </w:r>
    </w:p>
    <w:p>
      <w:pPr>
        <w:numPr>
          <w:ilvl w:val="0"/>
          <w:numId w:val="1004"/>
        </w:numPr>
        <w:pStyle w:val="Compact"/>
      </w:pPr>
      <w:r>
        <w:rPr>
          <w:bCs/>
          <w:b/>
        </w:rPr>
        <w:t xml:space="preserve">Recyclability Percentage (at EoL):</w:t>
      </w:r>
      <w:r>
        <w:t xml:space="preserve"> </w:t>
      </w:r>
      <w:r>
        <w:t xml:space="preserve">eqxgjenoss (Assumed: 80%)</w:t>
      </w:r>
    </w:p>
    <w:p>
      <w:pPr>
        <w:numPr>
          <w:ilvl w:val="0"/>
          <w:numId w:val="1004"/>
        </w:numPr>
        <w:pStyle w:val="Compact"/>
      </w:pPr>
      <w:r>
        <w:rPr>
          <w:bCs/>
          <w:b/>
        </w:rPr>
        <w:t xml:space="preserve">Circular/Take-back Programs:</w:t>
      </w:r>
      <w:r>
        <w:t xml:space="preserve"> </w:t>
      </w:r>
      <w:r>
        <w:t xml:space="preserve">xydeswdktl (Acknowledged: vuqmnwhxmp has established regional take-back programs for this product, facilitating higher recycling rates and potentially material reuse.)</w:t>
      </w:r>
    </w:p>
    <w:bookmarkEnd w:id="26"/>
    <w:bookmarkEnd w:id="27"/>
    <w:bookmarkStart w:id="32" w:name="Xb404f6bea4a0013006ec7a9103609d9ea6643c1"/>
    <w:p>
      <w:pPr>
        <w:pStyle w:val="Heading2"/>
      </w:pPr>
      <w:r>
        <w:t xml:space="preserve">2.4. Calculate Emissions (Activity * Emission Factor = CO2e)</w:t>
      </w:r>
    </w:p>
    <w:p>
      <w:pPr>
        <w:pStyle w:val="FirstParagraph"/>
      </w:pPr>
      <w:r>
        <w:t xml:space="preserve">Emissions were calculated for each lifecycle stage by multiplying the activity data (e.g., kg of material, kWh of energy, tkm of transport) by its corresponding emission factor. All emissions are expressed in kilograms of carbon dioxide equivalent (kg CO2e).</w:t>
      </w:r>
    </w:p>
    <w:bookmarkStart w:id="28" w:name="X01a7eed22eede95cbc6bb5ed6527770f10b348f"/>
    <w:p>
      <w:pPr>
        <w:pStyle w:val="Heading3"/>
      </w:pPr>
      <w:r>
        <w:t xml:space="preserve">2.4.1. Emission Factors Used (Illustrative, based on industry standards like Ecoinvent/DEFRA for simulation)</w:t>
      </w:r>
    </w:p>
    <w:p>
      <w:pPr>
        <w:numPr>
          <w:ilvl w:val="0"/>
          <w:numId w:val="1005"/>
        </w:numPr>
        <w:pStyle w:val="Compact"/>
      </w:pPr>
      <w:r>
        <w:t xml:space="preserve">Electricity (China Grid Mix, non-renewable portion): 0.6 kg CO2e/kWh</w:t>
      </w:r>
    </w:p>
    <w:p>
      <w:pPr>
        <w:numPr>
          <w:ilvl w:val="0"/>
          <w:numId w:val="1005"/>
        </w:numPr>
        <w:pStyle w:val="Compact"/>
      </w:pPr>
      <w:r>
        <w:t xml:space="preserve">Electricity (European Grid Mix, for use phase, average): 0.3 kg CO2e/kWh</w:t>
      </w:r>
    </w:p>
    <w:p>
      <w:pPr>
        <w:numPr>
          <w:ilvl w:val="0"/>
          <w:numId w:val="1005"/>
        </w:numPr>
        <w:pStyle w:val="Compact"/>
      </w:pPr>
      <w:r>
        <w:t xml:space="preserve">Ocean Freight (Container Ship): 0.01 kg CO2e/tonne-km</w:t>
      </w:r>
    </w:p>
    <w:p>
      <w:pPr>
        <w:numPr>
          <w:ilvl w:val="0"/>
          <w:numId w:val="1005"/>
        </w:numPr>
        <w:pStyle w:val="Compact"/>
      </w:pPr>
      <w:r>
        <w:t xml:space="preserve">Light Commercial Vehicle (LCV) Transport: 0.2 kg CO2e/tonne-km</w:t>
      </w:r>
    </w:p>
    <w:p>
      <w:pPr>
        <w:numPr>
          <w:ilvl w:val="0"/>
          <w:numId w:val="1005"/>
        </w:numPr>
        <w:pStyle w:val="Compact"/>
      </w:pPr>
      <w:r>
        <w:t xml:space="preserve">Waste to Landfill (Generic): 1.0 kg CO2e/kg</w:t>
      </w:r>
    </w:p>
    <w:p>
      <w:pPr>
        <w:numPr>
          <w:ilvl w:val="0"/>
          <w:numId w:val="1005"/>
        </w:numPr>
        <w:pStyle w:val="Compact"/>
      </w:pPr>
      <w:r>
        <w:t xml:space="preserve">Recycling Credit (Generic, avoided emissions): -0.5 kg CO2e/kg</w:t>
      </w:r>
    </w:p>
    <w:bookmarkEnd w:id="28"/>
    <w:bookmarkStart w:id="29" w:name="X8aa22f5a86702839bdb6c645fc19f57e4797574"/>
    <w:p>
      <w:pPr>
        <w:pStyle w:val="Heading3"/>
      </w:pPr>
      <w:r>
        <w:t xml:space="preserve">2.4.2. Emission Categorization (GHG Protocol Scopes)</w:t>
      </w:r>
    </w:p>
    <w:p>
      <w:pPr>
        <w:numPr>
          <w:ilvl w:val="0"/>
          <w:numId w:val="1006"/>
        </w:numPr>
        <w:pStyle w:val="Compact"/>
      </w:pPr>
      <w:r>
        <w:rPr>
          <w:bCs/>
          <w:b/>
        </w:rPr>
        <w:t xml:space="preserve">Scope 1 (Direct Emissions):</w:t>
      </w:r>
      <w:r>
        <w:t xml:space="preserve"> </w:t>
      </w:r>
      <w:r>
        <w:t xml:space="preserve">Emissions from sources owned or controlled by vuqmnwhxmp (e.g., direct fuel combustion in manufacturing). For this "factory-gate" system boundary and provided data, direct manufacturing process emissions not covered by purchased energy are considered.</w:t>
      </w:r>
    </w:p>
    <w:p>
      <w:pPr>
        <w:numPr>
          <w:ilvl w:val="0"/>
          <w:numId w:val="1006"/>
        </w:numPr>
        <w:pStyle w:val="Compact"/>
      </w:pPr>
      <w:r>
        <w:rPr>
          <w:bCs/>
          <w:b/>
        </w:rPr>
        <w:t xml:space="preserve">Scope 2 (Purchased Energy):</w:t>
      </w:r>
      <w:r>
        <w:t xml:space="preserve"> </w:t>
      </w:r>
      <w:r>
        <w:t xml:space="preserve">Emissions from the generation of purchased electricity, heat, or steam consumed by vuqmnwhxmp in its manufacturing operations.</w:t>
      </w:r>
    </w:p>
    <w:p>
      <w:pPr>
        <w:numPr>
          <w:ilvl w:val="0"/>
          <w:numId w:val="1006"/>
        </w:numPr>
        <w:pStyle w:val="Compact"/>
      </w:pPr>
      <w:r>
        <w:rPr>
          <w:bCs/>
          <w:b/>
        </w:rPr>
        <w:t xml:space="preserve">Scope 3 (Value Chain Emissions):</w:t>
      </w:r>
      <w:r>
        <w:t xml:space="preserve"> </w:t>
      </w:r>
      <w:r>
        <w:t xml:space="preserve">All other indirect emissions occurring in the value chain, both upstream and downstream. This includes raw material extraction, transportation, product use phase, and end-of-life treatment.</w:t>
      </w:r>
    </w:p>
    <w:bookmarkEnd w:id="29"/>
    <w:bookmarkStart w:id="30" w:name="lsr-update-application"/>
    <w:p>
      <w:pPr>
        <w:pStyle w:val="Heading3"/>
      </w:pPr>
      <w:r>
        <w:t xml:space="preserve">2.4.3. 2026 LSR Update Application</w:t>
      </w:r>
    </w:p>
    <w:p>
      <w:pPr>
        <w:pStyle w:val="FirstParagraph"/>
      </w:pPr>
      <w:r>
        <w:t xml:space="preserve">The Land Sector and Removals (LSR) Standard for land use and carbon removals, updated for 2026, has been considered. While specific land-use data for individual components was not provided, the principles of accounting for biogenic carbon flows, land-use change, and potential removals (e.g., through sustainable sourcing) would be integrated into a full-scale assessment. For this report, the impact of LSR is acknowledged qualitatively due to the nature of the provided input parameters.</w:t>
      </w:r>
    </w:p>
    <w:bookmarkEnd w:id="30"/>
    <w:bookmarkStart w:id="31" w:name="scope-3-compliance"/>
    <w:p>
      <w:pPr>
        <w:pStyle w:val="Heading3"/>
      </w:pPr>
      <w:r>
        <w:t xml:space="preserve">2.4.4. Scope 3 Compliance</w:t>
      </w:r>
    </w:p>
    <w:p>
      <w:pPr>
        <w:pStyle w:val="FirstParagraph"/>
      </w:pPr>
      <w:r>
        <w:t xml:space="preserve">Efforts have been made to ensure comprehensive Scope 3 reporting, aiming for at least 95% coverage as per 2026 requirements. The inclusion of detailed BOM, transport logistics, use phase, and end-of-life scenarios contributes significantly to this coverage.</w:t>
      </w:r>
    </w:p>
    <w:bookmarkEnd w:id="31"/>
    <w:bookmarkEnd w:id="32"/>
    <w:bookmarkStart w:id="33" w:name="review-report"/>
    <w:p>
      <w:pPr>
        <w:pStyle w:val="Heading2"/>
      </w:pPr>
      <w:r>
        <w:t xml:space="preserve">2.5. Review &amp; Report</w:t>
      </w:r>
    </w:p>
    <w:p>
      <w:pPr>
        <w:pStyle w:val="FirstParagraph"/>
      </w:pPr>
      <w:r>
        <w:t xml:space="preserve">The calculated emissions are reviewed for accuracy and completeness. Hotspots, which are stages or components with the highest emissions, are identified. The reliability of the results is assessed based on data quality and assumptions made.</w:t>
      </w:r>
    </w:p>
    <w:p>
      <w:r>
        <w:pict>
          <v:rect style="width:0;height:1.5pt" o:hralign="center" o:hrstd="t" o:hr="t"/>
        </w:pict>
      </w:r>
    </w:p>
    <w:bookmarkEnd w:id="33"/>
    <w:bookmarkEnd w:id="34"/>
    <w:bookmarkStart w:id="42" w:name="X8c78125fa3723db07c36d5e7034aa2bd73814fc"/>
    <w:p>
      <w:pPr>
        <w:pStyle w:val="Heading1"/>
      </w:pPr>
      <w:r>
        <w:t xml:space="preserve">3. Product Carbon Footprint Analysis for gnqtifoutj</w:t>
      </w:r>
    </w:p>
    <w:bookmarkStart w:id="40" w:name="emissions-breakdown-by-lifecycle-stage"/>
    <w:p>
      <w:pPr>
        <w:pStyle w:val="Heading2"/>
      </w:pPr>
      <w:r>
        <w:t xml:space="preserve">3.1. Emissions Breakdown by Lifecycle Stage</w:t>
      </w:r>
    </w:p>
    <w:bookmarkStart w:id="35" w:name="Xff31e690bfe279af69cf88b9219fe5d56042afb"/>
    <w:p>
      <w:pPr>
        <w:pStyle w:val="Heading3"/>
      </w:pPr>
      <w:r>
        <w:t xml:space="preserve">3.1.1. Raw Material Acquisition &amp; Pre-processing (Scope 3 - Upstream)</w:t>
      </w:r>
    </w:p>
    <w:p>
      <w:pPr>
        <w:pStyle w:val="FirstParagraph"/>
      </w:pPr>
      <w:r>
        <w:t xml:space="preserve">Based on the Detailed Bill of Materials (BOM) data, the emissions from raw material acquisition and pre-processing are:</w:t>
      </w:r>
    </w:p>
    <w:p>
      <w:pPr>
        <w:numPr>
          <w:ilvl w:val="0"/>
          <w:numId w:val="1007"/>
        </w:numPr>
        <w:pStyle w:val="Compact"/>
      </w:pPr>
      <w:r>
        <w:t xml:space="preserve">Total Material Carbon Footprint (from BOM table):</w:t>
      </w:r>
      <w:r>
        <w:t xml:space="preserve"> </w:t>
      </w:r>
      <w:r>
        <w:rPr>
          <w:bCs/>
          <w:b/>
        </w:rPr>
        <w:t xml:space="preserve">20.53 kg CO2e</w:t>
      </w:r>
    </w:p>
    <w:bookmarkEnd w:id="35"/>
    <w:bookmarkStart w:id="36" w:name="X547a78713c2a279cab947c5de799d67ada9a40d"/>
    <w:p>
      <w:pPr>
        <w:pStyle w:val="Heading3"/>
      </w:pPr>
      <w:r>
        <w:t xml:space="preserve">3.1.2. Manufacturing / Production Phase (Scope 1 &amp; Scope 2)</w:t>
      </w:r>
    </w:p>
    <w:p>
      <w:pPr>
        <w:pStyle w:val="FirstParagraph"/>
      </w:pPr>
      <w:r>
        <w:t xml:space="preserve">This phase covers the energy used at the vuqmnwhxmp factory in China.</w:t>
      </w:r>
    </w:p>
    <w:p>
      <w:pPr>
        <w:numPr>
          <w:ilvl w:val="0"/>
          <w:numId w:val="1008"/>
        </w:numPr>
        <w:pStyle w:val="Compact"/>
      </w:pPr>
      <w:r>
        <w:t xml:space="preserve">Energy Intensity: 15 kWh/unit</w:t>
      </w:r>
    </w:p>
    <w:p>
      <w:pPr>
        <w:numPr>
          <w:ilvl w:val="0"/>
          <w:numId w:val="1008"/>
        </w:numPr>
        <w:pStyle w:val="Compact"/>
      </w:pPr>
      <w:r>
        <w:t xml:space="preserve">Renewable Energy Usage: 75%</w:t>
      </w:r>
    </w:p>
    <w:p>
      <w:pPr>
        <w:numPr>
          <w:ilvl w:val="0"/>
          <w:numId w:val="1008"/>
        </w:numPr>
        <w:pStyle w:val="Compact"/>
      </w:pPr>
      <w:r>
        <w:t xml:space="preserve">Non-renewable Energy Usage: 15 kWh/unit * (1 - 0.75) = 3.75 kWh/unit</w:t>
      </w:r>
    </w:p>
    <w:p>
      <w:pPr>
        <w:numPr>
          <w:ilvl w:val="0"/>
          <w:numId w:val="1008"/>
        </w:numPr>
        <w:pStyle w:val="Compact"/>
      </w:pPr>
      <w:r>
        <w:t xml:space="preserve">Emission Factor (China Grid Mix, non-renewable portion): 0.6 kg CO2e/kWh</w:t>
      </w:r>
    </w:p>
    <w:p>
      <w:pPr>
        <w:numPr>
          <w:ilvl w:val="0"/>
          <w:numId w:val="1008"/>
        </w:numPr>
        <w:pStyle w:val="Compact"/>
      </w:pPr>
      <w:r>
        <w:rPr>
          <w:bCs/>
          <w:b/>
        </w:rPr>
        <w:t xml:space="preserve">Production Emissions (Scope 2):</w:t>
      </w:r>
      <w:r>
        <w:t xml:space="preserve"> </w:t>
      </w:r>
      <w:r>
        <w:t xml:space="preserve">3.75 kWh/unit * 0.6 kg CO2e/kWh =</w:t>
      </w:r>
      <w:r>
        <w:t xml:space="preserve"> </w:t>
      </w:r>
      <w:r>
        <w:rPr>
          <w:bCs/>
          <w:b/>
        </w:rPr>
        <w:t xml:space="preserve">2.25 kg CO2e</w:t>
      </w:r>
    </w:p>
    <w:p>
      <w:pPr>
        <w:numPr>
          <w:ilvl w:val="0"/>
          <w:numId w:val="1008"/>
        </w:numPr>
        <w:pStyle w:val="Compact"/>
      </w:pPr>
      <w:r>
        <w:t xml:space="preserve">Scope 1 emissions (direct process emissions not related to purchased energy) are assumed negligible for this illustrative calculation without specific fuel consumption data, but would typically be included.</w:t>
      </w:r>
    </w:p>
    <w:bookmarkEnd w:id="36"/>
    <w:bookmarkStart w:id="37" w:name="Xc78fa9e95fdc5a4841e5055035e97eb6a5c3c11"/>
    <w:p>
      <w:pPr>
        <w:pStyle w:val="Heading3"/>
      </w:pPr>
      <w:r>
        <w:t xml:space="preserve">3.1.3. Transport &amp; Distribution (Scope 3 - Upstream &amp; Downstream)</w:t>
      </w:r>
    </w:p>
    <w:p>
      <w:pPr>
        <w:pStyle w:val="FirstParagraph"/>
      </w:pPr>
      <w:r>
        <w:t xml:space="preserve">This includes inbound transport of materials and outbound last-mile delivery.</w:t>
      </w:r>
    </w:p>
    <w:p>
      <w:pPr>
        <w:numPr>
          <w:ilvl w:val="0"/>
          <w:numId w:val="1009"/>
        </w:numPr>
        <w:pStyle w:val="Compact"/>
      </w:pPr>
      <w:r>
        <w:rPr>
          <w:bCs/>
          <w:b/>
        </w:rPr>
        <w:t xml:space="preserve">Inbound Transport (Europe to China):</w:t>
      </w:r>
    </w:p>
    <w:p>
      <w:pPr>
        <w:numPr>
          <w:ilvl w:val="1"/>
          <w:numId w:val="1010"/>
        </w:numPr>
        <w:pStyle w:val="Compact"/>
      </w:pPr>
      <w:r>
        <w:t xml:space="preserve">Assumed average weight of materials/components per unit: 5 kg</w:t>
      </w:r>
    </w:p>
    <w:p>
      <w:pPr>
        <w:numPr>
          <w:ilvl w:val="1"/>
          <w:numId w:val="1010"/>
        </w:numPr>
        <w:pStyle w:val="Compact"/>
      </w:pPr>
      <w:r>
        <w:t xml:space="preserve">Transport Mode: Ocean Freight (Container Ship)</w:t>
      </w:r>
    </w:p>
    <w:p>
      <w:pPr>
        <w:numPr>
          <w:ilvl w:val="1"/>
          <w:numId w:val="1010"/>
        </w:numPr>
        <w:pStyle w:val="Compact"/>
      </w:pPr>
      <w:r>
        <w:t xml:space="preserve">Distance: 5000 km</w:t>
      </w:r>
    </w:p>
    <w:p>
      <w:pPr>
        <w:numPr>
          <w:ilvl w:val="1"/>
          <w:numId w:val="1010"/>
        </w:numPr>
        <w:pStyle w:val="Compact"/>
      </w:pPr>
      <w:r>
        <w:t xml:space="preserve">Emissions: 5 kg * (1 tonne / 1000 kg) * 5000 km * 0.01 kg CO2e/tonne-km =</w:t>
      </w:r>
      <w:r>
        <w:t xml:space="preserve"> </w:t>
      </w:r>
      <w:r>
        <w:rPr>
          <w:bCs/>
          <w:b/>
        </w:rPr>
        <w:t xml:space="preserve">0.25 kg CO2e</w:t>
      </w:r>
    </w:p>
    <w:p>
      <w:pPr>
        <w:numPr>
          <w:ilvl w:val="0"/>
          <w:numId w:val="1009"/>
        </w:numPr>
        <w:pStyle w:val="Compact"/>
      </w:pPr>
      <w:r>
        <w:rPr>
          <w:bCs/>
          <w:b/>
        </w:rPr>
        <w:t xml:space="preserve">Last-Mile Delivery (Outbound):</w:t>
      </w:r>
    </w:p>
    <w:p>
      <w:pPr>
        <w:numPr>
          <w:ilvl w:val="1"/>
          <w:numId w:val="1011"/>
        </w:numPr>
        <w:pStyle w:val="Compact"/>
      </w:pPr>
      <w:r>
        <w:t xml:space="preserve">Assumed average weight of finished product: 5 kg</w:t>
      </w:r>
    </w:p>
    <w:p>
      <w:pPr>
        <w:numPr>
          <w:ilvl w:val="1"/>
          <w:numId w:val="1011"/>
        </w:numPr>
        <w:pStyle w:val="Compact"/>
      </w:pPr>
      <w:r>
        <w:t xml:space="preserve">Delivery Channel: Light Commercial Vehicle (LCV)</w:t>
      </w:r>
    </w:p>
    <w:p>
      <w:pPr>
        <w:numPr>
          <w:ilvl w:val="1"/>
          <w:numId w:val="1011"/>
        </w:numPr>
        <w:pStyle w:val="Compact"/>
      </w:pPr>
      <w:r>
        <w:t xml:space="preserve">Assumed average last-mile distance: 100 km</w:t>
      </w:r>
    </w:p>
    <w:p>
      <w:pPr>
        <w:numPr>
          <w:ilvl w:val="1"/>
          <w:numId w:val="1011"/>
        </w:numPr>
        <w:pStyle w:val="Compact"/>
      </w:pPr>
      <w:r>
        <w:t xml:space="preserve">Emissions: 5 kg * (1 tonne / 1000 kg) * 100 km * 0.2 kg CO2e/tonne-km =</w:t>
      </w:r>
      <w:r>
        <w:t xml:space="preserve"> </w:t>
      </w:r>
      <w:r>
        <w:rPr>
          <w:bCs/>
          <w:b/>
        </w:rPr>
        <w:t xml:space="preserve">0.1 kg CO2e</w:t>
      </w:r>
    </w:p>
    <w:p>
      <w:pPr>
        <w:numPr>
          <w:ilvl w:val="0"/>
          <w:numId w:val="1009"/>
        </w:numPr>
        <w:pStyle w:val="Compact"/>
      </w:pPr>
      <w:r>
        <w:rPr>
          <w:bCs/>
          <w:b/>
        </w:rPr>
        <w:t xml:space="preserve">Total Transport Emissions:</w:t>
      </w:r>
      <w:r>
        <w:t xml:space="preserve"> </w:t>
      </w:r>
      <w:r>
        <w:t xml:space="preserve">0.25 + 0.1 =</w:t>
      </w:r>
      <w:r>
        <w:t xml:space="preserve"> </w:t>
      </w:r>
      <w:r>
        <w:rPr>
          <w:bCs/>
          <w:b/>
        </w:rPr>
        <w:t xml:space="preserve">0.35 kg CO2e</w:t>
      </w:r>
    </w:p>
    <w:bookmarkEnd w:id="37"/>
    <w:bookmarkStart w:id="38" w:name="use-phase-scope-3---downstream"/>
    <w:p>
      <w:pPr>
        <w:pStyle w:val="Heading3"/>
      </w:pPr>
      <w:r>
        <w:t xml:space="preserve">3.1.4. Use Phase (Scope 3 - Downstream)</w:t>
      </w:r>
    </w:p>
    <w:p>
      <w:pPr>
        <w:pStyle w:val="FirstParagraph"/>
      </w:pPr>
      <w:r>
        <w:t xml:space="preserve">This phase accounts for the energy consumed by the product during its lifespan.</w:t>
      </w:r>
    </w:p>
    <w:p>
      <w:pPr>
        <w:numPr>
          <w:ilvl w:val="0"/>
          <w:numId w:val="1012"/>
        </w:numPr>
        <w:pStyle w:val="Compact"/>
      </w:pPr>
      <w:r>
        <w:t xml:space="preserve">Product Lifespan: 7 years</w:t>
      </w:r>
    </w:p>
    <w:p>
      <w:pPr>
        <w:numPr>
          <w:ilvl w:val="0"/>
          <w:numId w:val="1012"/>
        </w:numPr>
        <w:pStyle w:val="Compact"/>
      </w:pPr>
      <w:r>
        <w:t xml:space="preserve">Energy Consumption in Use: 5 kWh/year</w:t>
      </w:r>
    </w:p>
    <w:p>
      <w:pPr>
        <w:numPr>
          <w:ilvl w:val="0"/>
          <w:numId w:val="1012"/>
        </w:numPr>
        <w:pStyle w:val="Compact"/>
      </w:pPr>
      <w:r>
        <w:t xml:space="preserve">Total Energy Consumption over Lifespan: 7 years * 5 kWh/year = 35 kWh</w:t>
      </w:r>
    </w:p>
    <w:p>
      <w:pPr>
        <w:numPr>
          <w:ilvl w:val="0"/>
          <w:numId w:val="1012"/>
        </w:numPr>
        <w:pStyle w:val="Compact"/>
      </w:pPr>
      <w:r>
        <w:t xml:space="preserve">Emission Factor (European Grid Mix, assumed for use location): 0.3 kg CO2e/kWh</w:t>
      </w:r>
    </w:p>
    <w:p>
      <w:pPr>
        <w:numPr>
          <w:ilvl w:val="0"/>
          <w:numId w:val="1012"/>
        </w:numPr>
        <w:pStyle w:val="Compact"/>
      </w:pPr>
      <w:r>
        <w:rPr>
          <w:bCs/>
          <w:b/>
        </w:rPr>
        <w:t xml:space="preserve">Use Phase Emissions:</w:t>
      </w:r>
      <w:r>
        <w:t xml:space="preserve"> </w:t>
      </w:r>
      <w:r>
        <w:t xml:space="preserve">35 kWh * 0.3 kg CO2e/kWh =</w:t>
      </w:r>
      <w:r>
        <w:t xml:space="preserve"> </w:t>
      </w:r>
      <w:r>
        <w:rPr>
          <w:bCs/>
          <w:b/>
        </w:rPr>
        <w:t xml:space="preserve">10.5 kg CO2e</w:t>
      </w:r>
    </w:p>
    <w:bookmarkEnd w:id="38"/>
    <w:bookmarkStart w:id="39" w:name="X92fbc61eed99b9d9aafbebcbbd2c7ad7660f7e4"/>
    <w:p>
      <w:pPr>
        <w:pStyle w:val="Heading3"/>
      </w:pPr>
      <w:r>
        <w:t xml:space="preserve">3.1.5. End-of-Life (EoL) Phase (Scope 3 - Downstream)</w:t>
      </w:r>
    </w:p>
    <w:p>
      <w:pPr>
        <w:pStyle w:val="FirstParagraph"/>
      </w:pPr>
      <w:r>
        <w:t xml:space="preserve">This phase considers the impact of disposal and recycling.</w:t>
      </w:r>
    </w:p>
    <w:p>
      <w:pPr>
        <w:numPr>
          <w:ilvl w:val="0"/>
          <w:numId w:val="1013"/>
        </w:numPr>
        <w:pStyle w:val="Compact"/>
      </w:pPr>
      <w:r>
        <w:t xml:space="preserve">Assumed total product weight at EoL: 5 kg (for simplicity, assumed similar to inbound weight)</w:t>
      </w:r>
    </w:p>
    <w:p>
      <w:pPr>
        <w:numPr>
          <w:ilvl w:val="0"/>
          <w:numId w:val="1013"/>
        </w:numPr>
        <w:pStyle w:val="Compact"/>
      </w:pPr>
      <w:r>
        <w:t xml:space="preserve">Recyclability Percentage: 80%</w:t>
      </w:r>
    </w:p>
    <w:p>
      <w:pPr>
        <w:numPr>
          <w:ilvl w:val="0"/>
          <w:numId w:val="1013"/>
        </w:numPr>
        <w:pStyle w:val="Compact"/>
      </w:pPr>
      <w:r>
        <w:t xml:space="preserve">Waste to Landfill: 5 kg * (1 - 0.80) = 1 kg</w:t>
      </w:r>
    </w:p>
    <w:p>
      <w:pPr>
        <w:numPr>
          <w:ilvl w:val="0"/>
          <w:numId w:val="1013"/>
        </w:numPr>
        <w:pStyle w:val="Compact"/>
      </w:pPr>
      <w:r>
        <w:t xml:space="preserve">Recycled Material: 5 kg * 0.80 = 4 kg</w:t>
      </w:r>
    </w:p>
    <w:p>
      <w:pPr>
        <w:numPr>
          <w:ilvl w:val="0"/>
          <w:numId w:val="1013"/>
        </w:numPr>
        <w:pStyle w:val="Compact"/>
      </w:pPr>
      <w:r>
        <w:t xml:space="preserve">Emissions from Landfill: 1 kg * 1.0 kg CO2e/kg = 1.0 kg CO2e</w:t>
      </w:r>
    </w:p>
    <w:p>
      <w:pPr>
        <w:numPr>
          <w:ilvl w:val="0"/>
          <w:numId w:val="1013"/>
        </w:numPr>
        <w:pStyle w:val="Compact"/>
      </w:pPr>
      <w:r>
        <w:t xml:space="preserve">Recycling Credit (avoided emissions): 4 kg * -0.5 kg CO2e/kg = -2.0 kg CO2e</w:t>
      </w:r>
    </w:p>
    <w:p>
      <w:pPr>
        <w:numPr>
          <w:ilvl w:val="0"/>
          <w:numId w:val="1013"/>
        </w:numPr>
        <w:pStyle w:val="Compact"/>
      </w:pPr>
      <w:r>
        <w:rPr>
          <w:bCs/>
          <w:b/>
        </w:rPr>
        <w:t xml:space="preserve">Net EoL Emissions:</w:t>
      </w:r>
      <w:r>
        <w:t xml:space="preserve"> </w:t>
      </w:r>
      <w:r>
        <w:t xml:space="preserve">1.0 kg CO2e - 2.0 kg CO2e =</w:t>
      </w:r>
      <w:r>
        <w:t xml:space="preserve"> </w:t>
      </w:r>
      <w:r>
        <w:rPr>
          <w:bCs/>
          <w:b/>
        </w:rPr>
        <w:t xml:space="preserve">-1.0 kg CO2e</w:t>
      </w:r>
    </w:p>
    <w:p>
      <w:pPr>
        <w:pStyle w:val="FirstParagraph"/>
      </w:pPr>
      <w:r>
        <w:t xml:space="preserve">The negative value for EoL indicates a net carbon saving due to recycling and circular economy impacts, supported by vuqmnwhxmp\'s</w:t>
      </w:r>
      <w:r>
        <w:t xml:space="preserve"> </w:t>
      </w:r>
      <w:r>
        <w:rPr>
          <w:bCs/>
          <w:b/>
        </w:rPr>
        <w:t xml:space="preserve">xydeswdktl</w:t>
      </w:r>
      <w:r>
        <w:t xml:space="preserve"> </w:t>
      </w:r>
      <w:r>
        <w:t xml:space="preserve">circular/take-back programs.</w:t>
      </w:r>
    </w:p>
    <w:bookmarkEnd w:id="39"/>
    <w:bookmarkEnd w:id="40"/>
    <w:bookmarkStart w:id="41" w:name="X70c8c2bc0e603ffb0f8088e5c32588ce28fce13"/>
    <w:p>
      <w:pPr>
        <w:pStyle w:val="Heading2"/>
      </w:pPr>
      <w:r>
        <w:t xml:space="preserve">3.2. Total Product Carbon Footprint (PCF) for gnqtifoutj</w:t>
      </w:r>
    </w:p>
    <w:p>
      <w:pPr>
        <w:pStyle w:val="FirstParagraph"/>
      </w:pPr>
      <w:r>
        <w:t xml:space="preserve">The total PCF is the sum of emissions from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20.53</w:t>
            </w:r>
          </w:p>
        </w:tc>
      </w:tr>
      <w:tr>
        <w:tc>
          <w:tcPr/>
          <w:p>
            <w:pPr>
              <w:pStyle w:val="Compact"/>
              <w:jc w:val="left"/>
            </w:pPr>
            <w:r>
              <w:t xml:space="preserve">Manufacturing / Production</w:t>
            </w:r>
          </w:p>
        </w:tc>
        <w:tc>
          <w:tcPr/>
          <w:p>
            <w:pPr>
              <w:pStyle w:val="Compact"/>
              <w:jc w:val="left"/>
            </w:pPr>
            <w:r>
              <w:t xml:space="preserve">Scope 2 (Purchased Electricity)</w:t>
            </w:r>
          </w:p>
        </w:tc>
        <w:tc>
          <w:tcPr/>
          <w:p>
            <w:pPr>
              <w:pStyle w:val="Compact"/>
              <w:jc w:val="left"/>
            </w:pPr>
            <w:r>
              <w:t xml:space="preserve">2.25</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0.35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10.50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-1.00</w:t>
            </w:r>
          </w:p>
        </w:tc>
      </w:tr>
      <w:tr>
        <w:tc>
          <w:tcPr/>
          <w:p>
            <w:pPr>
              <w:pStyle w:val="Compact"/>
              <w:jc w:val="left"/>
            </w:pPr>
            <w:r>
              <w:t xml:space="preserve">TOTAL PRODUCT CARBON FOOTPRINT</w:t>
            </w:r>
          </w:p>
        </w:tc>
        <w:tc>
          <w:tcPr/>
          <w:p>
            <w:pPr>
              <w:pStyle w:val="Compact"/>
            </w:pPr>
          </w:p>
        </w:tc>
        <w:tc>
          <w:tcPr/>
          <w:p>
            <w:pPr>
              <w:pStyle w:val="Compact"/>
              <w:jc w:val="left"/>
            </w:pPr>
            <w:r>
              <w:t xml:space="preserve">32.63</w:t>
            </w:r>
          </w:p>
        </w:tc>
      </w:tr>
    </w:tbl>
    <w:p>
      <w:pPr>
        <w:pStyle w:val="BodyText"/>
      </w:pPr>
      <w:r>
        <w:rPr>
          <w:bCs/>
          <w:b/>
        </w:rPr>
        <w:t xml:space="preserve">The total Product Carbon Footprint for one functional unit of gnqtifoutj is approximately 32.63 kg CO2e.</w:t>
      </w:r>
    </w:p>
    <w:p>
      <w:r>
        <w:pict>
          <v:rect style="width:0;height:1.5pt" o:hralign="center" o:hrstd="t" o:hr="t"/>
        </w:pict>
      </w:r>
    </w:p>
    <w:bookmarkEnd w:id="41"/>
    <w:bookmarkEnd w:id="42"/>
    <w:bookmarkStart w:id="43" w:name="key-findings-and-hotspots"/>
    <w:p>
      <w:pPr>
        <w:pStyle w:val="Heading1"/>
      </w:pPr>
      <w:r>
        <w:t xml:space="preserve">4. Key Findings and Hotspots</w:t>
      </w:r>
    </w:p>
    <w:p>
      <w:pPr>
        <w:numPr>
          <w:ilvl w:val="0"/>
          <w:numId w:val="1014"/>
        </w:numPr>
        <w:pStyle w:val="Compact"/>
      </w:pPr>
      <w:r>
        <w:rPr>
          <w:bCs/>
          <w:b/>
        </w:rPr>
        <w:t xml:space="preserve">Material Impact (Raw Material Acquisition):</w:t>
      </w:r>
      <w:r>
        <w:t xml:space="preserve"> </w:t>
      </w:r>
      <w:r>
        <w:t xml:space="preserve">The most significant hotspot is identified in the raw material acquisition and pre-processing phase, contributing</w:t>
      </w:r>
      <w:r>
        <w:t xml:space="preserve"> </w:t>
      </w:r>
      <w:r>
        <w:rPr>
          <w:bCs/>
          <w:b/>
        </w:rPr>
        <w:t xml:space="preserve">20.53 kg CO2e (approx. 63%)</w:t>
      </w:r>
      <w:r>
        <w:t xml:space="preserve"> </w:t>
      </w:r>
      <w:r>
        <w:t xml:space="preserve">to the total footprint. This highlights the importance of sustainable material sourcing and design choices.</w:t>
      </w:r>
    </w:p>
    <w:p>
      <w:pPr>
        <w:numPr>
          <w:ilvl w:val="0"/>
          <w:numId w:val="1014"/>
        </w:numPr>
        <w:pStyle w:val="Compact"/>
      </w:pPr>
      <w:r>
        <w:rPr>
          <w:bCs/>
          <w:b/>
        </w:rPr>
        <w:t xml:space="preserve">Use Phase Emissions:</w:t>
      </w:r>
      <w:r>
        <w:t xml:space="preserve"> </w:t>
      </w:r>
      <w:r>
        <w:t xml:space="preserve">The use phase also represents a substantial portion of the footprint, contributing</w:t>
      </w:r>
      <w:r>
        <w:t xml:space="preserve"> </w:t>
      </w:r>
      <w:r>
        <w:rPr>
          <w:bCs/>
          <w:b/>
        </w:rPr>
        <w:t xml:space="preserve">10.5 kg CO2e (approx. 32%)</w:t>
      </w:r>
      <w:r>
        <w:t xml:space="preserve">. This suggests opportunities for energy efficiency improvements in product design or promoting renewable energy use by consumers.</w:t>
      </w:r>
    </w:p>
    <w:p>
      <w:pPr>
        <w:numPr>
          <w:ilvl w:val="0"/>
          <w:numId w:val="1014"/>
        </w:numPr>
        <w:pStyle w:val="Compact"/>
      </w:pPr>
      <w:r>
        <w:rPr>
          <w:bCs/>
          <w:b/>
        </w:rPr>
        <w:t xml:space="preserve">Production Efficiency:</w:t>
      </w:r>
      <w:r>
        <w:t xml:space="preserve"> </w:t>
      </w:r>
      <w:r>
        <w:t xml:space="preserve">While the manufacturing phase contributes less (2.25 kg CO2e), the 75% renewable energy usage by vuqmnwhxmp demonstrates a commitment to reducing Scope 2 emissions. Further increasing renewable energy adoption could further lower this impact.</w:t>
      </w:r>
    </w:p>
    <w:p>
      <w:pPr>
        <w:numPr>
          <w:ilvl w:val="0"/>
          <w:numId w:val="1014"/>
        </w:numPr>
        <w:pStyle w:val="Compact"/>
      </w:pPr>
      <w:r>
        <w:rPr>
          <w:bCs/>
          <w:b/>
        </w:rPr>
        <w:t xml:space="preserve">End-of-Life Benefits:</w:t>
      </w:r>
      <w:r>
        <w:t xml:space="preserve"> </w:t>
      </w:r>
      <w:r>
        <w:t xml:space="preserve">The robust recyclability (eqxgjenoss: 80%) and existing circular/take-back programs (xydeswdktl) result in a net negative emission contribution from the End-of-Life stage, showcasing the positive impact of circular economy initiatives.</w:t>
      </w:r>
    </w:p>
    <w:p>
      <w:pPr>
        <w:numPr>
          <w:ilvl w:val="0"/>
          <w:numId w:val="1014"/>
        </w:numPr>
        <w:pStyle w:val="Compact"/>
      </w:pPr>
      <w:r>
        <w:rPr>
          <w:bCs/>
          <w:b/>
        </w:rPr>
        <w:t xml:space="preserve">Transport:</w:t>
      </w:r>
      <w:r>
        <w:t xml:space="preserve"> </w:t>
      </w:r>
      <w:r>
        <w:t xml:space="preserve">Transport and distribution represent a relatively smaller but still relevant portion of the footprint. Optimizing logistics and exploring lower-emission transport modes could offer further reductions.</w:t>
      </w:r>
    </w:p>
    <w:p>
      <w:r>
        <w:pict>
          <v:rect style="width:0;height:1.5pt" o:hralign="center" o:hrstd="t" o:hr="t"/>
        </w:pict>
      </w:r>
    </w:p>
    <w:bookmarkEnd w:id="43"/>
    <w:bookmarkStart w:id="44" w:name="recommendations-for-emission-reduction"/>
    <w:p>
      <w:pPr>
        <w:pStyle w:val="Heading1"/>
      </w:pPr>
      <w:r>
        <w:t xml:space="preserve">5. Recommendations for Emission Reduction</w:t>
      </w:r>
    </w:p>
    <w:p>
      <w:pPr>
        <w:numPr>
          <w:ilvl w:val="0"/>
          <w:numId w:val="1015"/>
        </w:numPr>
        <w:pStyle w:val="Compact"/>
      </w:pPr>
      <w:r>
        <w:rPr>
          <w:bCs/>
          <w:b/>
        </w:rPr>
        <w:t xml:space="preserve">Material Optimization:</w:t>
      </w:r>
      <w:r>
        <w:t xml:space="preserve"> </w:t>
      </w:r>
      <w:r>
        <w:t xml:space="preserve">Focus on sourcing lower-carbon alternative materials. Investigate possibilities for increasing recycled content in components like Steel and Plastic, or explore bio-based alternatives.</w:t>
      </w:r>
    </w:p>
    <w:p>
      <w:pPr>
        <w:numPr>
          <w:ilvl w:val="0"/>
          <w:numId w:val="1015"/>
        </w:numPr>
        <w:pStyle w:val="Compact"/>
      </w:pPr>
      <w:r>
        <w:rPr>
          <w:bCs/>
          <w:b/>
        </w:rPr>
        <w:t xml:space="preserve">Energy Efficiency in Use:</w:t>
      </w:r>
      <w:r>
        <w:t xml:space="preserve"> </w:t>
      </w:r>
      <w:r>
        <w:t xml:space="preserve">Redesign gnqtifoutj to minimize energy consumption during its lifespan (jvhsodiehp). Provide consumers with guidance on efficient use and the benefits of powering the product with renewable energy.</w:t>
      </w:r>
    </w:p>
    <w:p>
      <w:pPr>
        <w:numPr>
          <w:ilvl w:val="0"/>
          <w:numId w:val="1015"/>
        </w:numPr>
        <w:pStyle w:val="Compact"/>
      </w:pPr>
      <w:r>
        <w:rPr>
          <w:bCs/>
          <w:b/>
        </w:rPr>
        <w:t xml:space="preserve">Supply Chain Engagement:</w:t>
      </w:r>
      <w:r>
        <w:t xml:space="preserve"> </w:t>
      </w:r>
      <w:r>
        <w:t xml:space="preserve">Collaborate with European suppliers to identify and implement emission reduction initiatives, particularly for high-impact materials.</w:t>
      </w:r>
    </w:p>
    <w:p>
      <w:pPr>
        <w:numPr>
          <w:ilvl w:val="0"/>
          <w:numId w:val="1015"/>
        </w:numPr>
        <w:pStyle w:val="Compact"/>
      </w:pPr>
      <w:r>
        <w:rPr>
          <w:bCs/>
          <w:b/>
        </w:rPr>
        <w:t xml:space="preserve">Enhance Circularity:</w:t>
      </w:r>
      <w:r>
        <w:t xml:space="preserve"> </w:t>
      </w:r>
      <w:r>
        <w:t xml:space="preserve">Continue to strengthen and expand take-back and recycling programs (xydeswdktl) to maximize material recovery and reduce reliance on virgin resources. Explore possibilities for product refurbishment or remanufacturing.</w:t>
      </w:r>
    </w:p>
    <w:p>
      <w:pPr>
        <w:numPr>
          <w:ilvl w:val="0"/>
          <w:numId w:val="1015"/>
        </w:numPr>
        <w:pStyle w:val="Compact"/>
      </w:pPr>
      <w:r>
        <w:rPr>
          <w:bCs/>
          <w:b/>
        </w:rPr>
        <w:t xml:space="preserve">Renewable Energy Expansion:</w:t>
      </w:r>
      <w:r>
        <w:t xml:space="preserve"> </w:t>
      </w:r>
      <w:r>
        <w:t xml:space="preserve">Further increase the percentage of renewable energy used in vuqmnwhxmp\'s manufacturing facilities (ruftvowzpm) in China to minimize Scope 2 emissions.</w:t>
      </w:r>
    </w:p>
    <w:p>
      <w:r>
        <w:pict>
          <v:rect style="width:0;height:1.5pt" o:hralign="center" o:hrstd="t" o:hr="t"/>
        </w:pict>
      </w:r>
    </w:p>
    <w:bookmarkEnd w:id="44"/>
    <w:bookmarkStart w:id="47" w:name="data-limitations-and-future-improvements"/>
    <w:p>
      <w:pPr>
        <w:pStyle w:val="Heading1"/>
      </w:pPr>
      <w:r>
        <w:t xml:space="preserve">6. Data Limitations and Future Improvements</w:t>
      </w:r>
    </w:p>
    <w:p>
      <w:pPr>
        <w:pStyle w:val="FirstParagraph"/>
      </w:pPr>
      <w:r>
        <w:t xml:space="preserve">This report provides a robust assessment based on the provided parameters. However, certain limitations exist:</w:t>
      </w:r>
    </w:p>
    <w:p>
      <w:pPr>
        <w:numPr>
          <w:ilvl w:val="0"/>
          <w:numId w:val="1016"/>
        </w:numPr>
        <w:pStyle w:val="Compact"/>
      </w:pPr>
      <w:r>
        <w:rPr>
          <w:bCs/>
          <w:b/>
        </w:rPr>
        <w:t xml:space="preserve">Illustrative Emission Factors:</w:t>
      </w:r>
      <w:r>
        <w:t xml:space="preserve"> </w:t>
      </w:r>
      <w:r>
        <w:t xml:space="preserve">Generic emission factors were used for some calculations where specific Ecoinvent/DEFRA database access was not direct. Future iterations would benefit from direct database integration for enhanced accuracy.</w:t>
      </w:r>
    </w:p>
    <w:p>
      <w:pPr>
        <w:numPr>
          <w:ilvl w:val="0"/>
          <w:numId w:val="1016"/>
        </w:numPr>
        <w:pStyle w:val="Compact"/>
      </w:pPr>
      <w:r>
        <w:rPr>
          <w:bCs/>
          <w:b/>
        </w:rPr>
        <w:t xml:space="preserve">Placeholder Data:</w:t>
      </w:r>
      <w:r>
        <w:t xml:space="preserve"> </w:t>
      </w:r>
      <w:r>
        <w:t xml:space="preserve">Numerical values for parameters like `ekqziynuzf`, `vsqmqpnljw`, etc., were illustrative approximations based on the descriptive strings provided. Real-world numerical data would yield more precise results.</w:t>
      </w:r>
    </w:p>
    <w:p>
      <w:pPr>
        <w:numPr>
          <w:ilvl w:val="0"/>
          <w:numId w:val="1016"/>
        </w:numPr>
        <w:pStyle w:val="Compact"/>
      </w:pPr>
      <w:r>
        <w:rPr>
          <w:bCs/>
          <w:b/>
        </w:rPr>
        <w:t xml:space="preserve">LSR Data:</w:t>
      </w:r>
      <w:r>
        <w:t xml:space="preserve"> </w:t>
      </w:r>
      <w:r>
        <w:t xml:space="preserve">The application of the 2026 LSR Standard was qualitative due to the absence of specific land-use change or biogenic carbon data for the product\'s components. Future analyses should seek to quantify these impacts.</w:t>
      </w:r>
    </w:p>
    <w:p>
      <w:pPr>
        <w:numPr>
          <w:ilvl w:val="0"/>
          <w:numId w:val="1016"/>
        </w:numPr>
        <w:pStyle w:val="Compact"/>
      </w:pPr>
      <w:r>
        <w:rPr>
          <w:bCs/>
          <w:b/>
        </w:rPr>
        <w:t xml:space="preserve">Allocation Simplification:</w:t>
      </w:r>
      <w:r>
        <w:t xml:space="preserve"> </w:t>
      </w:r>
      <w:r>
        <w:t xml:space="preserve">Allocation methodologies were simplified for this report. Complex multi-product systems would require more detailed allocation procedures as per GHG Protocol guidelines.</w:t>
      </w:r>
    </w:p>
    <w:p>
      <w:pPr>
        <w:pStyle w:val="FirstParagraph"/>
      </w:pPr>
      <w:r>
        <w:t xml:space="preserve">Future analyses should aim to collect more granular primary data across all lifecycle stages and utilize advanced LCA software for comprehensive and highly accurate results.</w:t>
      </w:r>
    </w:p>
    <w:p>
      <w:pPr>
        <w:pStyle w:val="BodyText"/>
      </w:pPr>
      <w:r>
        <w:t xml:space="preserve">Confidential - Internal Use Only</w:t>
      </w:r>
    </w:p>
    <w:p>
      <w:pPr>
        <w:pStyle w:val="BodyText"/>
      </w:pPr>
      <w:r>
        <w:t xml:space="preserve">Page</w:t>
      </w:r>
      <w:r>
        <w:t xml:space="preserve"> </w:t>
      </w:r>
      <w:bookmarkStart w:id="45" w:name="page-num"/>
      <w:bookmarkEnd w:id="45"/>
      <w:r>
        <w:t xml:space="preserve"> </w:t>
      </w:r>
      <w:r>
        <w:t xml:space="preserve">of</w:t>
      </w:r>
      <w:r>
        <w:t xml:space="preserve"> </w:t>
      </w:r>
      <w:bookmarkStart w:id="46" w:name="page-count"/>
      <w:bookmarkEnd w:id="46"/>
    </w:p>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gnqtifoutj</dc:title>
  <dc:creator/>
  <dc:description>High-detail Product Carbon Footprint (PCF) analysis report for product gnqtifoutj by vuqmnwhxmp, conducted by Senior Sustainability Consultant rrsxfltwok, adhering to GHG Protocol standards and 2026 LSR Update.</dc:description>
  <dc:language>en</dc:language>
  <cp:keywords/>
  <dcterms:created xsi:type="dcterms:W3CDTF">2026-07-15T15:34:22Z</dcterms:created>
  <dcterms:modified xsi:type="dcterms:W3CDTF">2026-07-15T15:34:22Z</dcterms:modified>
</cp:coreProperties>
</file>

<file path=docProps/custom.xml><?xml version="1.0" encoding="utf-8"?>
<Properties xmlns="http://schemas.openxmlformats.org/officeDocument/2006/custom-properties" xmlns:vt="http://schemas.openxmlformats.org/officeDocument/2006/docPropsVTypes"/>
</file>